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57" w:rsidRPr="00827CA8" w:rsidRDefault="00782670" w:rsidP="00F8108D">
      <w:pPr>
        <w:rPr>
          <w:rFonts w:asciiTheme="minorHAnsi" w:hAnsiTheme="minorHAnsi" w:cstheme="minorHAnsi"/>
          <w:b/>
          <w:lang w:val="en-GB"/>
        </w:rPr>
      </w:pPr>
      <w:r w:rsidRPr="00827CA8">
        <w:rPr>
          <w:rFonts w:asciiTheme="minorHAnsi" w:hAnsiTheme="minorHAnsi" w:cstheme="minorHAnsi"/>
          <w:b/>
          <w:lang w:val="en-GB"/>
        </w:rPr>
        <w:t>‘</w:t>
      </w:r>
      <w:r w:rsidR="00306157" w:rsidRPr="00827CA8">
        <w:rPr>
          <w:rFonts w:asciiTheme="minorHAnsi" w:hAnsiTheme="minorHAnsi" w:cstheme="minorHAnsi"/>
          <w:b/>
          <w:lang w:val="en-GB"/>
        </w:rPr>
        <w:t>Distilling</w:t>
      </w:r>
      <w:r w:rsidR="00257759" w:rsidRPr="00827CA8">
        <w:rPr>
          <w:rFonts w:asciiTheme="minorHAnsi" w:hAnsiTheme="minorHAnsi" w:cstheme="minorHAnsi"/>
          <w:b/>
          <w:lang w:val="en-GB"/>
        </w:rPr>
        <w:t xml:space="preserve"> materially the immaterial</w:t>
      </w:r>
      <w:r w:rsidRPr="00827CA8">
        <w:rPr>
          <w:rFonts w:asciiTheme="minorHAnsi" w:hAnsiTheme="minorHAnsi" w:cstheme="minorHAnsi"/>
          <w:b/>
          <w:lang w:val="en-GB"/>
        </w:rPr>
        <w:t>’</w:t>
      </w:r>
      <w:r w:rsidR="00257759" w:rsidRPr="00827CA8">
        <w:rPr>
          <w:rFonts w:asciiTheme="minorHAnsi" w:hAnsiTheme="minorHAnsi" w:cstheme="minorHAnsi"/>
          <w:b/>
          <w:lang w:val="en-GB"/>
        </w:rPr>
        <w:t>: The variation of the spatial knowledge of children and youngsters within the re-figuration of space</w:t>
      </w:r>
      <w:r w:rsidRPr="00827CA8">
        <w:rPr>
          <w:rFonts w:asciiTheme="minorHAnsi" w:hAnsiTheme="minorHAnsi" w:cstheme="minorHAnsi"/>
          <w:b/>
          <w:lang w:val="en-GB"/>
        </w:rPr>
        <w:t>s</w:t>
      </w:r>
    </w:p>
    <w:p w:rsidR="00257759" w:rsidRPr="00827CA8" w:rsidRDefault="00257759" w:rsidP="004277A7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42516E" w:rsidRPr="00827CA8" w:rsidRDefault="004277A7" w:rsidP="004277A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7CA8">
        <w:rPr>
          <w:rFonts w:asciiTheme="minorHAnsi" w:hAnsiTheme="minorHAnsi" w:cstheme="minorHAnsi"/>
          <w:sz w:val="20"/>
          <w:szCs w:val="20"/>
          <w:lang w:val="en-GB"/>
        </w:rPr>
        <w:t>Authors: Ignacio Castillo*, Ang</w:t>
      </w:r>
      <w:r w:rsidR="0042516E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ela Million and </w:t>
      </w:r>
      <w:proofErr w:type="spellStart"/>
      <w:r w:rsidR="0042516E" w:rsidRPr="00827CA8">
        <w:rPr>
          <w:rFonts w:asciiTheme="minorHAnsi" w:hAnsiTheme="minorHAnsi" w:cstheme="minorHAnsi"/>
          <w:sz w:val="20"/>
          <w:szCs w:val="20"/>
          <w:lang w:val="en-GB"/>
        </w:rPr>
        <w:t>Jona</w:t>
      </w:r>
      <w:proofErr w:type="spellEnd"/>
      <w:r w:rsidR="0042516E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42516E" w:rsidRPr="00827CA8">
        <w:rPr>
          <w:rFonts w:asciiTheme="minorHAnsi" w:hAnsiTheme="minorHAnsi" w:cstheme="minorHAnsi"/>
          <w:sz w:val="20"/>
          <w:szCs w:val="20"/>
          <w:lang w:val="en-GB"/>
        </w:rPr>
        <w:t>Schwerer</w:t>
      </w:r>
      <w:proofErr w:type="spellEnd"/>
    </w:p>
    <w:p w:rsidR="004277A7" w:rsidRPr="00827CA8" w:rsidRDefault="0042516E" w:rsidP="004277A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7CA8">
        <w:rPr>
          <w:rFonts w:asciiTheme="minorHAnsi" w:hAnsiTheme="minorHAnsi" w:cstheme="minorHAnsi"/>
          <w:sz w:val="20"/>
          <w:szCs w:val="20"/>
          <w:lang w:val="en-GB"/>
        </w:rPr>
        <w:t>Department of Urban Design</w:t>
      </w:r>
      <w:r w:rsidR="00845F14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 | </w:t>
      </w:r>
      <w:r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Institute of Urban and Regional </w:t>
      </w:r>
      <w:proofErr w:type="spellStart"/>
      <w:r w:rsidRPr="00827CA8">
        <w:rPr>
          <w:rFonts w:asciiTheme="minorHAnsi" w:hAnsiTheme="minorHAnsi" w:cstheme="minorHAnsi"/>
          <w:sz w:val="20"/>
          <w:szCs w:val="20"/>
          <w:lang w:val="en-GB"/>
        </w:rPr>
        <w:t>Planning</w:t>
      </w:r>
      <w:r w:rsidR="00845F14" w:rsidRPr="00827CA8">
        <w:rPr>
          <w:rFonts w:asciiTheme="minorHAnsi" w:hAnsiTheme="minorHAnsi" w:cstheme="minorHAnsi"/>
          <w:sz w:val="20"/>
          <w:szCs w:val="20"/>
          <w:lang w:val="en-GB"/>
        </w:rPr>
        <w:t>|</w:t>
      </w:r>
      <w:r w:rsidR="004277A7" w:rsidRPr="00827CA8">
        <w:rPr>
          <w:rFonts w:asciiTheme="minorHAnsi" w:hAnsiTheme="minorHAnsi" w:cstheme="minorHAnsi"/>
          <w:sz w:val="20"/>
          <w:szCs w:val="20"/>
          <w:lang w:val="en-GB"/>
        </w:rPr>
        <w:t>B</w:t>
      </w:r>
      <w:r w:rsidRPr="00827CA8">
        <w:rPr>
          <w:rFonts w:asciiTheme="minorHAnsi" w:hAnsiTheme="minorHAnsi" w:cstheme="minorHAnsi"/>
          <w:sz w:val="20"/>
          <w:szCs w:val="20"/>
          <w:lang w:val="en-GB"/>
        </w:rPr>
        <w:t>erlin</w:t>
      </w:r>
      <w:proofErr w:type="spellEnd"/>
      <w:r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 University of </w:t>
      </w:r>
      <w:proofErr w:type="spellStart"/>
      <w:r w:rsidRPr="00827CA8">
        <w:rPr>
          <w:rFonts w:asciiTheme="minorHAnsi" w:hAnsiTheme="minorHAnsi" w:cstheme="minorHAnsi"/>
          <w:sz w:val="20"/>
          <w:szCs w:val="20"/>
          <w:lang w:val="en-GB"/>
        </w:rPr>
        <w:t>Technology</w:t>
      </w:r>
      <w:proofErr w:type="gramStart"/>
      <w:r w:rsidRPr="00827CA8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4277A7" w:rsidRPr="00827CA8">
        <w:rPr>
          <w:rFonts w:asciiTheme="minorHAnsi" w:hAnsiTheme="minorHAnsi" w:cstheme="minorHAnsi"/>
          <w:sz w:val="20"/>
          <w:szCs w:val="20"/>
          <w:lang w:val="en-GB"/>
        </w:rPr>
        <w:t>Germany</w:t>
      </w:r>
      <w:proofErr w:type="spellEnd"/>
      <w:proofErr w:type="gramEnd"/>
    </w:p>
    <w:p w:rsidR="004277A7" w:rsidRPr="00827CA8" w:rsidRDefault="004277A7" w:rsidP="004277A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8D5A76" w:rsidRPr="00066671" w:rsidRDefault="00097721" w:rsidP="0045255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The paper </w:t>
      </w:r>
      <w:proofErr w:type="spellStart"/>
      <w:r w:rsidR="003973CE" w:rsidRPr="00827CA8">
        <w:rPr>
          <w:rFonts w:asciiTheme="minorHAnsi" w:hAnsiTheme="minorHAnsi" w:cstheme="minorHAnsi"/>
          <w:sz w:val="20"/>
          <w:szCs w:val="20"/>
          <w:lang w:val="en-GB"/>
        </w:rPr>
        <w:t>problematises</w:t>
      </w:r>
      <w:proofErr w:type="spellEnd"/>
      <w:r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 the </w:t>
      </w:r>
      <w:r w:rsidRPr="00066671">
        <w:rPr>
          <w:rFonts w:asciiTheme="minorHAnsi" w:hAnsiTheme="minorHAnsi" w:cstheme="minorHAnsi"/>
          <w:sz w:val="20"/>
          <w:szCs w:val="20"/>
          <w:lang w:val="en-GB"/>
        </w:rPr>
        <w:t>notion of spatial knowledge of both children and teenagers</w:t>
      </w:r>
      <w:r w:rsidR="00FC0F1B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(see, </w:t>
      </w:r>
      <w:proofErr w:type="spellStart"/>
      <w:r w:rsidR="00FC0F1B" w:rsidRPr="00066671">
        <w:rPr>
          <w:rFonts w:asciiTheme="minorHAnsi" w:hAnsiTheme="minorHAnsi" w:cstheme="minorHAnsi"/>
          <w:sz w:val="20"/>
          <w:szCs w:val="20"/>
          <w:lang w:val="en-GB"/>
        </w:rPr>
        <w:t>interalia</w:t>
      </w:r>
      <w:proofErr w:type="spellEnd"/>
      <w:r w:rsidR="00FC0F1B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1E0F78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Piaget and </w:t>
      </w:r>
      <w:proofErr w:type="spellStart"/>
      <w:r w:rsidR="001E0F78" w:rsidRPr="00066671">
        <w:rPr>
          <w:rFonts w:asciiTheme="minorHAnsi" w:hAnsiTheme="minorHAnsi" w:cstheme="minorHAnsi"/>
          <w:sz w:val="20"/>
          <w:szCs w:val="20"/>
          <w:lang w:val="en-GB"/>
        </w:rPr>
        <w:t>Inhelder</w:t>
      </w:r>
      <w:proofErr w:type="spellEnd"/>
      <w:r w:rsidR="001E0F78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, 1967; </w:t>
      </w:r>
      <w:r w:rsidR="008653AA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Hart and Moore, 1973; </w:t>
      </w:r>
      <w:r w:rsidR="00BE177F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Lynch, </w:t>
      </w:r>
      <w:r w:rsidR="00FC0F1B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1977; </w:t>
      </w:r>
      <w:r w:rsidR="00354B63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Ward, 1977; </w:t>
      </w:r>
      <w:proofErr w:type="spellStart"/>
      <w:r w:rsidR="00B545F3" w:rsidRPr="00066671">
        <w:rPr>
          <w:rFonts w:asciiTheme="minorHAnsi" w:hAnsiTheme="minorHAnsi" w:cstheme="minorHAnsi"/>
          <w:sz w:val="20"/>
          <w:szCs w:val="20"/>
          <w:lang w:val="en-GB"/>
        </w:rPr>
        <w:t>Tonucci</w:t>
      </w:r>
      <w:proofErr w:type="spellEnd"/>
      <w:r w:rsidR="00B545F3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, 1996; </w:t>
      </w:r>
      <w:r w:rsidR="00FC0F1B" w:rsidRPr="00066671">
        <w:rPr>
          <w:rFonts w:asciiTheme="minorHAnsi" w:hAnsiTheme="minorHAnsi" w:cstheme="minorHAnsi"/>
          <w:sz w:val="20"/>
          <w:szCs w:val="20"/>
          <w:lang w:val="en-GB"/>
        </w:rPr>
        <w:t>Chawla, 2002)</w:t>
      </w:r>
      <w:r w:rsidR="003973CE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framed in the pr</w:t>
      </w:r>
      <w:r w:rsidR="00782670" w:rsidRPr="00066671">
        <w:rPr>
          <w:rFonts w:asciiTheme="minorHAnsi" w:hAnsiTheme="minorHAnsi" w:cstheme="minorHAnsi"/>
          <w:sz w:val="20"/>
          <w:szCs w:val="20"/>
          <w:lang w:val="en-GB"/>
        </w:rPr>
        <w:t>ocess of re-figuration of spaces</w:t>
      </w:r>
      <w:r w:rsidR="0045255C" w:rsidRPr="00066671">
        <w:rPr>
          <w:rFonts w:asciiTheme="minorHAnsi" w:hAnsiTheme="minorHAnsi" w:cstheme="minorHAnsi"/>
          <w:sz w:val="20"/>
          <w:szCs w:val="20"/>
          <w:lang w:val="en-GB"/>
        </w:rPr>
        <w:t>. To that end, the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start</w:t>
      </w:r>
      <w:r w:rsidR="0045255C" w:rsidRPr="00066671">
        <w:rPr>
          <w:rFonts w:asciiTheme="minorHAnsi" w:hAnsiTheme="minorHAnsi" w:cstheme="minorHAnsi"/>
          <w:sz w:val="20"/>
          <w:szCs w:val="20"/>
          <w:lang w:val="en-GB"/>
        </w:rPr>
        <w:t>ing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assumption </w:t>
      </w:r>
      <w:r w:rsidR="0045255C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is 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that the transformation of the social order becomes particularly clear when looking at the </w:t>
      </w:r>
      <w:r w:rsidR="0045255C" w:rsidRPr="00066671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>re</w:t>
      </w:r>
      <w:r w:rsidR="0045255C" w:rsidRPr="00066671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structuring of spaces. </w:t>
      </w:r>
      <w:proofErr w:type="spellStart"/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>Spaces</w:t>
      </w:r>
      <w:proofErr w:type="gramStart"/>
      <w:r w:rsidR="004A158D" w:rsidRPr="00066671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45255C" w:rsidRPr="00066671">
        <w:rPr>
          <w:rFonts w:asciiTheme="minorHAnsi" w:hAnsiTheme="minorHAnsi" w:cstheme="minorHAnsi"/>
          <w:sz w:val="20"/>
          <w:szCs w:val="20"/>
          <w:lang w:val="en-GB"/>
        </w:rPr>
        <w:t>thus</w:t>
      </w:r>
      <w:r w:rsidR="004A158D" w:rsidRPr="00066671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>are</w:t>
      </w:r>
      <w:proofErr w:type="spellEnd"/>
      <w:proofErr w:type="gramEnd"/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understood as relational arrangements of actors, object</w:t>
      </w:r>
      <w:r w:rsidR="00797251" w:rsidRPr="00066671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and technologies</w:t>
      </w:r>
      <w:r w:rsidR="00797251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–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both placed and placing. These arrangements</w:t>
      </w:r>
      <w:r w:rsidR="004A158D" w:rsidRPr="00066671">
        <w:rPr>
          <w:rFonts w:asciiTheme="minorHAnsi" w:hAnsiTheme="minorHAnsi" w:cstheme="minorHAnsi"/>
          <w:sz w:val="20"/>
          <w:szCs w:val="20"/>
          <w:lang w:val="en-GB"/>
        </w:rPr>
        <w:t>, moreover,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are based on two analyti</w:t>
      </w:r>
      <w:r w:rsidR="004A158D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cally distinct social processes that synthesise specific practices of placing, referred to as </w:t>
      </w:r>
      <w:r w:rsidR="004A158D" w:rsidRPr="00066671">
        <w:rPr>
          <w:rFonts w:asciiTheme="minorHAnsi" w:hAnsiTheme="minorHAnsi" w:cstheme="minorHAnsi"/>
          <w:i/>
          <w:sz w:val="20"/>
          <w:szCs w:val="20"/>
          <w:lang w:val="en-GB"/>
        </w:rPr>
        <w:t>spacing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. Social changes are </w:t>
      </w:r>
      <w:r w:rsidR="00BC6E4D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constantly 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leading to new forms of synthesizing spaces and new dynamics </w:t>
      </w:r>
      <w:proofErr w:type="spellStart"/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>of</w:t>
      </w:r>
      <w:r w:rsidR="004A158D" w:rsidRPr="00066671">
        <w:rPr>
          <w:rFonts w:asciiTheme="minorHAnsi" w:hAnsiTheme="minorHAnsi" w:cstheme="minorHAnsi"/>
          <w:i/>
          <w:sz w:val="20"/>
          <w:szCs w:val="20"/>
          <w:lang w:val="en-GB"/>
        </w:rPr>
        <w:t>spacing</w:t>
      </w:r>
      <w:proofErr w:type="spellEnd"/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>, which</w:t>
      </w:r>
      <w:r w:rsidR="004A158D" w:rsidRPr="00066671">
        <w:rPr>
          <w:rFonts w:asciiTheme="minorHAnsi" w:hAnsiTheme="minorHAnsi" w:cstheme="minorHAnsi"/>
          <w:sz w:val="20"/>
          <w:szCs w:val="20"/>
          <w:lang w:val="en-GB"/>
        </w:rPr>
        <w:t>, in turn,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result</w:t>
      </w:r>
      <w:r w:rsidR="00111F62" w:rsidRPr="00066671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in the spatial reorganisation of societies. </w:t>
      </w:r>
      <w:r w:rsidR="00111F62" w:rsidRPr="00066671">
        <w:rPr>
          <w:rFonts w:asciiTheme="minorHAnsi" w:hAnsiTheme="minorHAnsi" w:cstheme="minorHAnsi"/>
          <w:sz w:val="20"/>
          <w:szCs w:val="20"/>
          <w:lang w:val="en-GB"/>
        </w:rPr>
        <w:t>Given that this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process of rearranging and restructuring </w:t>
      </w:r>
      <w:proofErr w:type="gramStart"/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>is</w:t>
      </w:r>
      <w:r w:rsidR="00BC6E4D" w:rsidRPr="00066671">
        <w:rPr>
          <w:rFonts w:asciiTheme="minorHAnsi" w:hAnsiTheme="minorHAnsi" w:cstheme="minorHAnsi"/>
          <w:sz w:val="20"/>
          <w:szCs w:val="20"/>
          <w:lang w:val="en-GB"/>
        </w:rPr>
        <w:t>, on the one hand,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described</w:t>
      </w:r>
      <w:proofErr w:type="gramEnd"/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from</w:t>
      </w:r>
      <w:r w:rsidR="00BC6E4D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the perspective of the </w:t>
      </w:r>
      <w:proofErr w:type="spellStart"/>
      <w:r w:rsidR="00BC6E4D" w:rsidRPr="00066671">
        <w:rPr>
          <w:rFonts w:asciiTheme="minorHAnsi" w:hAnsiTheme="minorHAnsi" w:cstheme="minorHAnsi"/>
          <w:sz w:val="20"/>
          <w:szCs w:val="20"/>
          <w:lang w:val="en-GB"/>
        </w:rPr>
        <w:t>spatialand</w:t>
      </w:r>
      <w:proofErr w:type="spellEnd"/>
      <w:r w:rsidR="00BC6E4D" w:rsidRPr="00066671">
        <w:rPr>
          <w:rFonts w:asciiTheme="minorHAnsi" w:hAnsiTheme="minorHAnsi" w:cstheme="minorHAnsi"/>
          <w:sz w:val="20"/>
          <w:szCs w:val="20"/>
          <w:lang w:val="en-GB"/>
        </w:rPr>
        <w:t>, on the other,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regard</w:t>
      </w:r>
      <w:r w:rsidR="00BC6E4D" w:rsidRPr="00066671">
        <w:rPr>
          <w:rFonts w:asciiTheme="minorHAnsi" w:hAnsiTheme="minorHAnsi" w:cstheme="minorHAnsi"/>
          <w:sz w:val="20"/>
          <w:szCs w:val="20"/>
          <w:lang w:val="en-GB"/>
        </w:rPr>
        <w:t>ed</w:t>
      </w:r>
      <w:r w:rsidR="004277A7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as fundamentally social and relational in nature</w:t>
      </w:r>
      <w:r w:rsidR="00111F62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BC6E4D" w:rsidRPr="00066671">
        <w:rPr>
          <w:rFonts w:asciiTheme="minorHAnsi" w:hAnsiTheme="minorHAnsi" w:cstheme="minorHAnsi"/>
          <w:sz w:val="20"/>
          <w:szCs w:val="20"/>
          <w:lang w:val="en-GB"/>
        </w:rPr>
        <w:t>it is analysed as re-figuration of space</w:t>
      </w:r>
      <w:r w:rsidR="00782670" w:rsidRPr="00066671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032560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="00CE4C43" w:rsidRPr="00066671">
        <w:rPr>
          <w:rFonts w:asciiTheme="minorHAnsi" w:hAnsiTheme="minorHAnsi" w:cstheme="minorHAnsi"/>
          <w:sz w:val="20"/>
          <w:szCs w:val="20"/>
          <w:lang w:val="en-US"/>
        </w:rPr>
        <w:t xml:space="preserve">Knoblauch and </w:t>
      </w:r>
      <w:proofErr w:type="spellStart"/>
      <w:r w:rsidR="00CE4C43" w:rsidRPr="00066671">
        <w:rPr>
          <w:rFonts w:asciiTheme="minorHAnsi" w:hAnsiTheme="minorHAnsi" w:cstheme="minorHAnsi"/>
          <w:sz w:val="20"/>
          <w:szCs w:val="20"/>
          <w:lang w:val="en-US"/>
        </w:rPr>
        <w:t>Löw</w:t>
      </w:r>
      <w:proofErr w:type="spellEnd"/>
      <w:r w:rsidR="00CE4C43" w:rsidRPr="00066671">
        <w:rPr>
          <w:rFonts w:asciiTheme="minorHAnsi" w:hAnsiTheme="minorHAnsi" w:cstheme="minorHAnsi"/>
          <w:sz w:val="20"/>
          <w:szCs w:val="20"/>
          <w:lang w:val="en-US"/>
        </w:rPr>
        <w:t>, 2017: 3-6)</w:t>
      </w:r>
      <w:r w:rsidR="00BC6E4D" w:rsidRPr="0006667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BC6E4D" w:rsidRPr="00066671" w:rsidRDefault="00BC6E4D" w:rsidP="0045255C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8704AF" w:rsidRPr="00066671" w:rsidRDefault="008704AF" w:rsidP="008704AF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066671">
        <w:rPr>
          <w:rFonts w:asciiTheme="minorHAnsi" w:hAnsiTheme="minorHAnsi" w:cstheme="minorHAnsi"/>
          <w:sz w:val="20"/>
          <w:szCs w:val="20"/>
          <w:lang w:val="en-GB"/>
        </w:rPr>
        <w:t>T</w:t>
      </w:r>
      <w:r w:rsidR="003415BA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he paper </w:t>
      </w:r>
      <w:r w:rsidRPr="00066671">
        <w:rPr>
          <w:rFonts w:asciiTheme="minorHAnsi" w:hAnsiTheme="minorHAnsi" w:cstheme="minorHAnsi"/>
          <w:sz w:val="20"/>
          <w:szCs w:val="20"/>
          <w:lang w:val="en-GB"/>
        </w:rPr>
        <w:t>p</w:t>
      </w:r>
      <w:r w:rsidR="003415BA" w:rsidRPr="00066671">
        <w:rPr>
          <w:rFonts w:asciiTheme="minorHAnsi" w:hAnsiTheme="minorHAnsi" w:cstheme="minorHAnsi"/>
          <w:sz w:val="20"/>
          <w:szCs w:val="20"/>
          <w:lang w:val="en-GB"/>
        </w:rPr>
        <w:t>resent</w:t>
      </w:r>
      <w:r w:rsidRPr="00066671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3415BA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an overview of a research project </w:t>
      </w:r>
      <w:r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that is being </w:t>
      </w:r>
      <w:r w:rsidR="003415BA" w:rsidRPr="00066671">
        <w:rPr>
          <w:rFonts w:asciiTheme="minorHAnsi" w:hAnsiTheme="minorHAnsi" w:cstheme="minorHAnsi"/>
          <w:sz w:val="20"/>
          <w:szCs w:val="20"/>
          <w:lang w:val="en-GB"/>
        </w:rPr>
        <w:t>carried out in an interdisciplinary collaborative research centre</w:t>
      </w:r>
      <w:r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, which, based on previous research, </w:t>
      </w:r>
      <w:r w:rsidR="007A737D" w:rsidRPr="00066671">
        <w:rPr>
          <w:rFonts w:asciiTheme="minorHAnsi" w:hAnsiTheme="minorHAnsi" w:cstheme="minorHAnsi"/>
          <w:sz w:val="20"/>
          <w:szCs w:val="20"/>
          <w:lang w:val="en-GB"/>
        </w:rPr>
        <w:t>tackles the following characteristics of the re-figuration of space</w:t>
      </w:r>
      <w:r w:rsidR="008D5A76" w:rsidRPr="00066671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7A737D" w:rsidRPr="00066671">
        <w:rPr>
          <w:rFonts w:asciiTheme="minorHAnsi" w:hAnsiTheme="minorHAnsi" w:cstheme="minorHAnsi"/>
          <w:sz w:val="20"/>
          <w:szCs w:val="20"/>
          <w:lang w:val="en-GB"/>
        </w:rPr>
        <w:t>: (</w:t>
      </w:r>
      <w:proofErr w:type="spellStart"/>
      <w:r w:rsidR="007A737D" w:rsidRPr="00066671">
        <w:rPr>
          <w:rFonts w:asciiTheme="minorHAnsi" w:hAnsiTheme="minorHAnsi" w:cstheme="minorHAnsi"/>
          <w:sz w:val="20"/>
          <w:szCs w:val="20"/>
          <w:lang w:val="en-GB"/>
        </w:rPr>
        <w:t>i</w:t>
      </w:r>
      <w:proofErr w:type="spellEnd"/>
      <w:r w:rsidR="007A737D" w:rsidRPr="00066671">
        <w:rPr>
          <w:rFonts w:asciiTheme="minorHAnsi" w:hAnsiTheme="minorHAnsi" w:cstheme="minorHAnsi"/>
          <w:sz w:val="20"/>
          <w:szCs w:val="20"/>
          <w:lang w:val="en-GB"/>
        </w:rPr>
        <w:t>) the poly</w:t>
      </w:r>
      <w:r w:rsidR="00004EDC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7A737D" w:rsidRPr="00066671">
        <w:rPr>
          <w:rFonts w:asciiTheme="minorHAnsi" w:hAnsiTheme="minorHAnsi" w:cstheme="minorHAnsi"/>
          <w:sz w:val="20"/>
          <w:szCs w:val="20"/>
          <w:lang w:val="en-GB"/>
        </w:rPr>
        <w:t>contexturality</w:t>
      </w:r>
      <w:proofErr w:type="spellEnd"/>
      <w:r w:rsidR="007A737D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of spatial constitution, (ii) the mediatisation of communicative actions and (iii) the </w:t>
      </w:r>
      <w:proofErr w:type="spellStart"/>
      <w:r w:rsidR="007A737D" w:rsidRPr="00066671">
        <w:rPr>
          <w:rFonts w:asciiTheme="minorHAnsi" w:hAnsiTheme="minorHAnsi" w:cstheme="minorHAnsi"/>
          <w:sz w:val="20"/>
          <w:szCs w:val="20"/>
          <w:lang w:val="en-GB"/>
        </w:rPr>
        <w:t>translocalisation</w:t>
      </w:r>
      <w:proofErr w:type="spellEnd"/>
      <w:r w:rsidR="007A737D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of places</w:t>
      </w:r>
      <w:r w:rsidR="00677D46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="00677D46" w:rsidRPr="00066671">
        <w:rPr>
          <w:rFonts w:asciiTheme="minorHAnsi" w:hAnsiTheme="minorHAnsi" w:cstheme="minorHAnsi"/>
          <w:sz w:val="20"/>
          <w:szCs w:val="20"/>
          <w:lang w:val="en-US"/>
        </w:rPr>
        <w:t xml:space="preserve">Knoblauch and </w:t>
      </w:r>
      <w:proofErr w:type="spellStart"/>
      <w:r w:rsidR="00677D46" w:rsidRPr="00066671">
        <w:rPr>
          <w:rFonts w:asciiTheme="minorHAnsi" w:hAnsiTheme="minorHAnsi" w:cstheme="minorHAnsi"/>
          <w:sz w:val="20"/>
          <w:szCs w:val="20"/>
          <w:lang w:val="en-US"/>
        </w:rPr>
        <w:t>Löw</w:t>
      </w:r>
      <w:proofErr w:type="spellEnd"/>
      <w:r w:rsidR="00677D46" w:rsidRPr="00066671">
        <w:rPr>
          <w:rFonts w:asciiTheme="minorHAnsi" w:hAnsiTheme="minorHAnsi" w:cstheme="minorHAnsi"/>
          <w:sz w:val="20"/>
          <w:szCs w:val="20"/>
          <w:lang w:val="en-US"/>
        </w:rPr>
        <w:t>, 2017: 6ff.)</w:t>
      </w:r>
      <w:r w:rsidR="007A737D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. Against this backdrop, the research project, more specifically, looks at the </w:t>
      </w:r>
      <w:r w:rsidRPr="00066671">
        <w:rPr>
          <w:rFonts w:asciiTheme="minorHAnsi" w:hAnsiTheme="minorHAnsi" w:cstheme="minorHAnsi"/>
          <w:sz w:val="20"/>
          <w:szCs w:val="20"/>
          <w:lang w:val="en-GB"/>
        </w:rPr>
        <w:t>re-figuration of space</w:t>
      </w:r>
      <w:r w:rsidR="00782670" w:rsidRPr="00066671">
        <w:rPr>
          <w:rFonts w:asciiTheme="minorHAnsi" w:hAnsiTheme="minorHAnsi" w:cstheme="minorHAnsi"/>
          <w:sz w:val="20"/>
          <w:szCs w:val="20"/>
          <w:lang w:val="en-GB"/>
        </w:rPr>
        <w:t>s</w:t>
      </w:r>
      <w:r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from the perspective of children and adolescents, the generation of </w:t>
      </w:r>
      <w:r w:rsidR="00443096" w:rsidRPr="00066671">
        <w:rPr>
          <w:rFonts w:asciiTheme="minorHAnsi" w:hAnsiTheme="minorHAnsi" w:cstheme="minorHAnsi"/>
          <w:sz w:val="20"/>
          <w:szCs w:val="20"/>
          <w:lang w:val="en-GB"/>
        </w:rPr>
        <w:t>“</w:t>
      </w:r>
      <w:r w:rsidRPr="00066671">
        <w:rPr>
          <w:rFonts w:asciiTheme="minorHAnsi" w:hAnsiTheme="minorHAnsi" w:cstheme="minorHAnsi"/>
          <w:sz w:val="20"/>
          <w:szCs w:val="20"/>
          <w:lang w:val="en-GB"/>
        </w:rPr>
        <w:t>digital natives</w:t>
      </w:r>
      <w:r w:rsidR="00443096" w:rsidRPr="00066671">
        <w:rPr>
          <w:rFonts w:asciiTheme="minorHAnsi" w:hAnsiTheme="minorHAnsi" w:cstheme="minorHAnsi"/>
          <w:sz w:val="20"/>
          <w:szCs w:val="20"/>
          <w:lang w:val="en-GB"/>
        </w:rPr>
        <w:t>” (</w:t>
      </w:r>
      <w:proofErr w:type="spellStart"/>
      <w:r w:rsidR="00443096" w:rsidRPr="00066671">
        <w:rPr>
          <w:rFonts w:asciiTheme="minorHAnsi" w:hAnsiTheme="minorHAnsi" w:cstheme="minorHAnsi"/>
          <w:sz w:val="20"/>
          <w:szCs w:val="20"/>
          <w:lang w:val="en-GB"/>
        </w:rPr>
        <w:t>Prensky</w:t>
      </w:r>
      <w:proofErr w:type="spellEnd"/>
      <w:r w:rsidR="00443096" w:rsidRPr="00066671">
        <w:rPr>
          <w:rFonts w:asciiTheme="minorHAnsi" w:hAnsiTheme="minorHAnsi" w:cstheme="minorHAnsi"/>
          <w:sz w:val="20"/>
          <w:szCs w:val="20"/>
          <w:lang w:val="en-GB"/>
        </w:rPr>
        <w:t>, 2001)</w:t>
      </w:r>
      <w:r w:rsidR="00782670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, and the production of their spatial knowledge; to put it differently, </w:t>
      </w:r>
      <w:r w:rsidR="00EB1C40" w:rsidRPr="00066671">
        <w:rPr>
          <w:rFonts w:asciiTheme="minorHAnsi" w:hAnsiTheme="minorHAnsi" w:cstheme="minorHAnsi"/>
          <w:sz w:val="20"/>
          <w:szCs w:val="20"/>
          <w:lang w:val="en-GB"/>
        </w:rPr>
        <w:t>it seeks to fathom out</w:t>
      </w:r>
      <w:r w:rsidR="00782670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 how the immateriality of spatial knowledge becomes ‘fixed’ in the materiality of spaces being constantly re-figured</w:t>
      </w:r>
      <w:r w:rsidR="007A737D" w:rsidRPr="00066671">
        <w:rPr>
          <w:rFonts w:asciiTheme="minorHAnsi" w:hAnsiTheme="minorHAnsi" w:cstheme="minorHAnsi"/>
          <w:sz w:val="20"/>
          <w:szCs w:val="20"/>
          <w:lang w:val="en-GB"/>
        </w:rPr>
        <w:t xml:space="preserve">. The investigation aims to, 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first, reconstruct changes in the appropriation of educational spaces by children and adolescents, and the spatial knowledge involved </w:t>
      </w:r>
      <w:r w:rsidR="00782670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therein 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since the 1970s. Buil</w:t>
      </w:r>
      <w:r w:rsidR="007A737D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ding on these findings, it will subsequently explore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 how these changes in spatial knowledge are nowadays being processed </w:t>
      </w:r>
      <w:r w:rsidR="0084253E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and rendered operative 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by professionals planning educational spaces. The methodology combines a </w:t>
      </w:r>
      <w:r w:rsidR="00202365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qualitative 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meta-analysis</w:t>
      </w:r>
      <w:r w:rsidR="00202365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 (Novak, 2007; </w:t>
      </w:r>
      <w:proofErr w:type="spellStart"/>
      <w:r w:rsidR="00514B93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Sandelowski</w:t>
      </w:r>
      <w:proofErr w:type="spellEnd"/>
      <w:r w:rsidR="0008408A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, </w:t>
      </w:r>
      <w:r w:rsidR="0099050C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2004; Sánchez</w:t>
      </w:r>
      <w:r w:rsidR="00B545F3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-</w:t>
      </w:r>
      <w:proofErr w:type="spellStart"/>
      <w:r w:rsidR="0099050C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Meca</w:t>
      </w:r>
      <w:proofErr w:type="spellEnd"/>
      <w:r w:rsidR="0099050C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, 20</w:t>
      </w:r>
      <w:r w:rsidR="00364BDC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10</w:t>
      </w:r>
      <w:r w:rsidR="0099050C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)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 of relevant literature </w:t>
      </w:r>
      <w:r w:rsidR="007A737D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(in German, English and Spanish)</w:t>
      </w:r>
      <w:r w:rsidR="008D5A76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, </w:t>
      </w:r>
      <w:r w:rsidR="00EB1C40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in order</w:t>
      </w:r>
      <w:r w:rsidR="008D5A76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 to grasp a sort of second-level empiricism, 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with two empirical case studies on planning and designing </w:t>
      </w:r>
      <w:r w:rsidR="00B545F3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of 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non-formal educational spaces in </w:t>
      </w:r>
      <w:r w:rsidR="007A737D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both 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Latin America and Europe</w:t>
      </w:r>
      <w:r w:rsidR="007A737D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.</w:t>
      </w:r>
    </w:p>
    <w:p w:rsidR="001560AA" w:rsidRPr="00066671" w:rsidRDefault="001560AA" w:rsidP="008704AF">
      <w:pPr>
        <w:rPr>
          <w:rFonts w:asciiTheme="minorHAnsi" w:eastAsiaTheme="minorHAnsi" w:hAnsiTheme="minorHAnsi" w:cstheme="minorHAnsi"/>
          <w:sz w:val="20"/>
          <w:szCs w:val="20"/>
          <w:lang w:val="en-GB"/>
        </w:rPr>
      </w:pPr>
    </w:p>
    <w:p w:rsidR="00097721" w:rsidRPr="00827CA8" w:rsidRDefault="001560AA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All in all, it is believed that unravelling the production of children</w:t>
      </w:r>
      <w:r w:rsidR="00147C47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’s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 and youngsters</w:t>
      </w:r>
      <w:r w:rsidR="00147C47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’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 spatial knowledge </w:t>
      </w:r>
      <w:r w:rsidR="008D5A76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within the re-figuration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 of space</w:t>
      </w:r>
      <w:r w:rsidR="008D5A76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s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 shall shed light on the evolution of how </w:t>
      </w:r>
      <w:r w:rsidR="00A71368"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their </w:t>
      </w:r>
      <w:r w:rsidRPr="00066671">
        <w:rPr>
          <w:rFonts w:asciiTheme="minorHAnsi" w:eastAsiaTheme="minorHAnsi" w:hAnsiTheme="minorHAnsi" w:cstheme="minorHAnsi"/>
          <w:sz w:val="20"/>
          <w:szCs w:val="20"/>
          <w:lang w:val="en-GB"/>
        </w:rPr>
        <w:t>subjectivities and identities are constructed</w:t>
      </w:r>
      <w:r w:rsidRPr="00827CA8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 </w:t>
      </w:r>
      <w:r w:rsidR="00644B17" w:rsidRPr="00827CA8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(through the use, cognition and appropriation of space) </w:t>
      </w:r>
      <w:r w:rsidRPr="00827CA8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as well as it reveals new – or even the pervasion of </w:t>
      </w:r>
      <w:proofErr w:type="spellStart"/>
      <w:r w:rsidRPr="00827CA8">
        <w:rPr>
          <w:rFonts w:asciiTheme="minorHAnsi" w:eastAsiaTheme="minorHAnsi" w:hAnsiTheme="minorHAnsi" w:cstheme="minorHAnsi"/>
          <w:sz w:val="20"/>
          <w:szCs w:val="20"/>
          <w:lang w:val="en-GB"/>
        </w:rPr>
        <w:t>routinised</w:t>
      </w:r>
      <w:proofErr w:type="spellEnd"/>
      <w:r w:rsidRPr="00827CA8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 –</w:t>
      </w:r>
      <w:r w:rsidR="00293573" w:rsidRPr="00827CA8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 forms of political praxis, where their spatial knowledge is made (</w:t>
      </w:r>
      <w:proofErr w:type="spellStart"/>
      <w:r w:rsidR="00293573" w:rsidRPr="00827CA8">
        <w:rPr>
          <w:rFonts w:asciiTheme="minorHAnsi" w:eastAsiaTheme="minorHAnsi" w:hAnsiTheme="minorHAnsi" w:cstheme="minorHAnsi"/>
          <w:sz w:val="20"/>
          <w:szCs w:val="20"/>
          <w:lang w:val="en-GB"/>
        </w:rPr>
        <w:t>ir</w:t>
      </w:r>
      <w:proofErr w:type="spellEnd"/>
      <w:r w:rsidR="00293573" w:rsidRPr="00827CA8">
        <w:rPr>
          <w:rFonts w:asciiTheme="minorHAnsi" w:eastAsiaTheme="minorHAnsi" w:hAnsiTheme="minorHAnsi" w:cstheme="minorHAnsi"/>
          <w:sz w:val="20"/>
          <w:szCs w:val="20"/>
          <w:lang w:val="en-GB"/>
        </w:rPr>
        <w:t>)relevant</w:t>
      </w:r>
      <w:r w:rsidRPr="00827CA8">
        <w:rPr>
          <w:rFonts w:asciiTheme="minorHAnsi" w:eastAsiaTheme="minorHAnsi" w:hAnsiTheme="minorHAnsi" w:cstheme="minorHAnsi"/>
          <w:sz w:val="20"/>
          <w:szCs w:val="20"/>
          <w:lang w:val="en-GB"/>
        </w:rPr>
        <w:t>(particularly, when assessing the implementation of spatial knowledge in the planning and designing of not only formal but also non-formal educational contexts</w:t>
      </w:r>
      <w:r w:rsidR="00293573" w:rsidRPr="00827CA8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). </w:t>
      </w:r>
      <w:r w:rsidR="004277A7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Theoretical background, methodology and first insights </w:t>
      </w:r>
      <w:r w:rsidR="00A71368" w:rsidRPr="00827CA8">
        <w:rPr>
          <w:rFonts w:asciiTheme="minorHAnsi" w:hAnsiTheme="minorHAnsi" w:cstheme="minorHAnsi"/>
          <w:sz w:val="20"/>
          <w:szCs w:val="20"/>
          <w:lang w:val="en-GB"/>
        </w:rPr>
        <w:t>of</w:t>
      </w:r>
      <w:r w:rsidR="004277A7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 th</w:t>
      </w:r>
      <w:r w:rsidR="00293573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e meta-analysis </w:t>
      </w:r>
      <w:r w:rsidR="00923DBB" w:rsidRPr="00827CA8">
        <w:rPr>
          <w:rFonts w:asciiTheme="minorHAnsi" w:hAnsiTheme="minorHAnsi" w:cstheme="minorHAnsi"/>
          <w:sz w:val="20"/>
          <w:szCs w:val="20"/>
          <w:lang w:val="en-GB"/>
        </w:rPr>
        <w:t>are</w:t>
      </w:r>
      <w:r w:rsidR="00293573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 outlined</w:t>
      </w:r>
      <w:r w:rsidR="00927C8A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 in the paper</w:t>
      </w:r>
      <w:r w:rsidR="00293573" w:rsidRPr="00827CA8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C308BE" w:rsidRPr="00827CA8" w:rsidRDefault="00C308BE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C308BE" w:rsidRPr="00827CA8" w:rsidRDefault="00C308BE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7CA8">
        <w:rPr>
          <w:rFonts w:asciiTheme="minorHAnsi" w:hAnsiTheme="minorHAnsi" w:cstheme="minorHAnsi"/>
          <w:sz w:val="20"/>
          <w:szCs w:val="20"/>
          <w:lang w:val="en-GB"/>
        </w:rPr>
        <w:t>References quoted:</w:t>
      </w:r>
    </w:p>
    <w:p w:rsidR="00C308BE" w:rsidRPr="00827CA8" w:rsidRDefault="00C308BE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C62647" w:rsidRPr="00827CA8" w:rsidRDefault="00C62647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27CA8">
        <w:rPr>
          <w:rFonts w:asciiTheme="minorHAnsi" w:hAnsiTheme="minorHAnsi" w:cstheme="minorHAnsi"/>
          <w:sz w:val="20"/>
          <w:szCs w:val="20"/>
          <w:lang w:val="en-US"/>
        </w:rPr>
        <w:t>Chawla</w:t>
      </w:r>
      <w:r w:rsidR="00F746C5" w:rsidRPr="00827CA8"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827CA8">
        <w:rPr>
          <w:rFonts w:asciiTheme="minorHAnsi" w:hAnsiTheme="minorHAnsi" w:cstheme="minorHAnsi"/>
          <w:sz w:val="20"/>
          <w:szCs w:val="20"/>
          <w:lang w:val="en-US"/>
        </w:rPr>
        <w:t xml:space="preserve"> L</w:t>
      </w:r>
      <w:r w:rsidR="00F746C5" w:rsidRPr="00827CA8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827CA8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F746C5" w:rsidRPr="00827CA8">
        <w:rPr>
          <w:rFonts w:asciiTheme="minorHAnsi" w:hAnsiTheme="minorHAnsi" w:cstheme="minorHAnsi"/>
          <w:sz w:val="20"/>
          <w:szCs w:val="20"/>
          <w:lang w:val="en-US"/>
        </w:rPr>
        <w:t>ed</w:t>
      </w:r>
      <w:r w:rsidRPr="00827CA8">
        <w:rPr>
          <w:rFonts w:asciiTheme="minorHAnsi" w:hAnsiTheme="minorHAnsi" w:cstheme="minorHAnsi"/>
          <w:sz w:val="20"/>
          <w:szCs w:val="20"/>
          <w:lang w:val="en-US"/>
        </w:rPr>
        <w:t xml:space="preserve">.) (2002) </w:t>
      </w:r>
      <w:r w:rsidRPr="00827CA8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Growing up in an </w:t>
      </w:r>
      <w:proofErr w:type="spellStart"/>
      <w:r w:rsidRPr="00827CA8">
        <w:rPr>
          <w:rFonts w:asciiTheme="minorHAnsi" w:hAnsiTheme="minorHAnsi" w:cstheme="minorHAnsi"/>
          <w:i/>
          <w:iCs/>
          <w:sz w:val="20"/>
          <w:szCs w:val="20"/>
          <w:lang w:val="en-US"/>
        </w:rPr>
        <w:t>Urbanising</w:t>
      </w:r>
      <w:proofErr w:type="spellEnd"/>
      <w:r w:rsidRPr="00827CA8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World</w:t>
      </w:r>
      <w:r w:rsidRPr="00827CA8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F746C5" w:rsidRPr="00827CA8">
        <w:rPr>
          <w:rFonts w:asciiTheme="minorHAnsi" w:hAnsiTheme="minorHAnsi" w:cstheme="minorHAnsi"/>
          <w:sz w:val="20"/>
          <w:szCs w:val="20"/>
          <w:lang w:val="en-US"/>
        </w:rPr>
        <w:t>London and Sterling, VA</w:t>
      </w:r>
      <w:r w:rsidRPr="00827CA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proofErr w:type="spellStart"/>
      <w:r w:rsidR="00F746C5" w:rsidRPr="00827CA8">
        <w:rPr>
          <w:rFonts w:asciiTheme="minorHAnsi" w:hAnsiTheme="minorHAnsi" w:cstheme="minorHAnsi"/>
          <w:sz w:val="20"/>
          <w:szCs w:val="20"/>
          <w:lang w:val="en-US"/>
        </w:rPr>
        <w:t>Earthscan</w:t>
      </w:r>
      <w:proofErr w:type="spellEnd"/>
      <w:r w:rsidR="00E11950" w:rsidRPr="00827CA8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9D0299" w:rsidRPr="00827CA8" w:rsidRDefault="009D0299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Hart, R. and Moore, G. (1973) </w:t>
      </w:r>
      <w:proofErr w:type="gramStart"/>
      <w:r w:rsidR="009F4AC0" w:rsidRPr="00827CA8">
        <w:rPr>
          <w:rFonts w:asciiTheme="minorHAnsi" w:hAnsiTheme="minorHAnsi" w:cstheme="minorHAnsi"/>
          <w:sz w:val="20"/>
          <w:szCs w:val="20"/>
          <w:lang w:val="en-GB"/>
        </w:rPr>
        <w:t>The</w:t>
      </w:r>
      <w:proofErr w:type="gramEnd"/>
      <w:r w:rsidR="009F4AC0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 development of spatial cognition: A review. In: R. Downs and D. </w:t>
      </w:r>
      <w:proofErr w:type="spellStart"/>
      <w:r w:rsidR="009F4AC0" w:rsidRPr="00827CA8">
        <w:rPr>
          <w:rFonts w:asciiTheme="minorHAnsi" w:hAnsiTheme="minorHAnsi" w:cstheme="minorHAnsi"/>
          <w:sz w:val="20"/>
          <w:szCs w:val="20"/>
          <w:lang w:val="en-GB"/>
        </w:rPr>
        <w:t>Stea</w:t>
      </w:r>
      <w:proofErr w:type="spellEnd"/>
      <w:r w:rsidR="009F4AC0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 (eds.) </w:t>
      </w:r>
      <w:r w:rsidR="009F4AC0" w:rsidRPr="00827CA8">
        <w:rPr>
          <w:rFonts w:asciiTheme="minorHAnsi" w:hAnsiTheme="minorHAnsi" w:cstheme="minorHAnsi"/>
          <w:i/>
          <w:sz w:val="20"/>
          <w:szCs w:val="20"/>
          <w:lang w:val="en-GB"/>
        </w:rPr>
        <w:t>Image and Environment</w:t>
      </w:r>
      <w:r w:rsidR="009F4AC0" w:rsidRPr="00827CA8">
        <w:rPr>
          <w:rFonts w:asciiTheme="minorHAnsi" w:hAnsiTheme="minorHAnsi" w:cstheme="minorHAnsi"/>
          <w:sz w:val="20"/>
          <w:szCs w:val="20"/>
          <w:lang w:val="en-GB"/>
        </w:rPr>
        <w:t>. Chicago: Aldine.</w:t>
      </w:r>
    </w:p>
    <w:p w:rsidR="00C308BE" w:rsidRPr="00827CA8" w:rsidRDefault="00CA19EA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Knoblauch, H. and </w:t>
      </w:r>
      <w:proofErr w:type="spellStart"/>
      <w:r w:rsidRPr="00827CA8">
        <w:rPr>
          <w:rFonts w:asciiTheme="minorHAnsi" w:hAnsiTheme="minorHAnsi" w:cstheme="minorHAnsi"/>
          <w:sz w:val="20"/>
          <w:szCs w:val="20"/>
          <w:lang w:val="en-GB"/>
        </w:rPr>
        <w:t>Löw</w:t>
      </w:r>
      <w:proofErr w:type="spellEnd"/>
      <w:r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, M. (2017) </w:t>
      </w:r>
      <w:proofErr w:type="gramStart"/>
      <w:r w:rsidR="00E6165E" w:rsidRPr="00827CA8">
        <w:rPr>
          <w:rFonts w:asciiTheme="minorHAnsi" w:hAnsiTheme="minorHAnsi" w:cstheme="minorHAnsi"/>
          <w:sz w:val="20"/>
          <w:szCs w:val="20"/>
          <w:lang w:val="en-GB"/>
        </w:rPr>
        <w:t>On</w:t>
      </w:r>
      <w:proofErr w:type="gramEnd"/>
      <w:r w:rsidR="00E6165E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 the spatial re-figuration of the social world. </w:t>
      </w:r>
      <w:proofErr w:type="spellStart"/>
      <w:r w:rsidR="00E6165E" w:rsidRPr="00827CA8">
        <w:rPr>
          <w:rFonts w:asciiTheme="minorHAnsi" w:hAnsiTheme="minorHAnsi" w:cstheme="minorHAnsi"/>
          <w:sz w:val="20"/>
          <w:szCs w:val="20"/>
          <w:lang w:val="en-GB"/>
        </w:rPr>
        <w:t>Socio</w:t>
      </w:r>
      <w:r w:rsidR="00E6165E" w:rsidRPr="00827CA8">
        <w:rPr>
          <w:rFonts w:asciiTheme="minorHAnsi" w:hAnsiTheme="minorHAnsi" w:cstheme="minorHAnsi"/>
          <w:i/>
          <w:sz w:val="20"/>
          <w:szCs w:val="20"/>
          <w:lang w:val="en-GB"/>
        </w:rPr>
        <w:t>logica</w:t>
      </w:r>
      <w:proofErr w:type="spellEnd"/>
      <w:r w:rsidR="00E6165E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 2: 1-27.</w:t>
      </w:r>
    </w:p>
    <w:p w:rsidR="00514B93" w:rsidRPr="00827CA8" w:rsidRDefault="00514B93" w:rsidP="00514B93">
      <w:pPr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827CA8">
        <w:rPr>
          <w:rFonts w:asciiTheme="minorHAnsi" w:hAnsiTheme="minorHAnsi" w:cstheme="minorHAnsi"/>
          <w:sz w:val="20"/>
          <w:szCs w:val="20"/>
          <w:lang w:val="en-GB"/>
        </w:rPr>
        <w:t>Sandelowski</w:t>
      </w:r>
      <w:proofErr w:type="spellEnd"/>
      <w:r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, K. (2004) Qualitative Meta-Analysis. In: </w:t>
      </w:r>
      <w:r w:rsidR="00CF7C72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Lewis-Beck, M., </w:t>
      </w:r>
      <w:proofErr w:type="spellStart"/>
      <w:r w:rsidR="00CF7C72" w:rsidRPr="00827CA8">
        <w:rPr>
          <w:rFonts w:asciiTheme="minorHAnsi" w:hAnsiTheme="minorHAnsi" w:cstheme="minorHAnsi"/>
          <w:sz w:val="20"/>
          <w:szCs w:val="20"/>
          <w:lang w:val="en-GB"/>
        </w:rPr>
        <w:t>Bryman</w:t>
      </w:r>
      <w:proofErr w:type="spellEnd"/>
      <w:r w:rsidR="00CF7C72" w:rsidRPr="00827CA8">
        <w:rPr>
          <w:rFonts w:asciiTheme="minorHAnsi" w:hAnsiTheme="minorHAnsi" w:cstheme="minorHAnsi"/>
          <w:sz w:val="20"/>
          <w:szCs w:val="20"/>
          <w:lang w:val="en-GB"/>
        </w:rPr>
        <w:t>, A. and Liao, T. (</w:t>
      </w:r>
      <w:r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eds.) </w:t>
      </w:r>
      <w:proofErr w:type="gramStart"/>
      <w:r w:rsidRPr="00827CA8">
        <w:rPr>
          <w:rFonts w:asciiTheme="minorHAnsi" w:hAnsiTheme="minorHAnsi" w:cstheme="minorHAnsi"/>
          <w:i/>
          <w:sz w:val="20"/>
          <w:szCs w:val="20"/>
          <w:lang w:val="en-GB"/>
        </w:rPr>
        <w:t>The</w:t>
      </w:r>
      <w:proofErr w:type="gramEnd"/>
      <w:r w:rsidRPr="00827C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SAGE </w:t>
      </w:r>
      <w:proofErr w:type="spellStart"/>
      <w:r w:rsidRPr="00827CA8">
        <w:rPr>
          <w:rFonts w:asciiTheme="minorHAnsi" w:hAnsiTheme="minorHAnsi" w:cstheme="minorHAnsi"/>
          <w:i/>
          <w:sz w:val="20"/>
          <w:szCs w:val="20"/>
          <w:lang w:val="en-GB"/>
        </w:rPr>
        <w:t>Encyclopedia</w:t>
      </w:r>
      <w:proofErr w:type="spellEnd"/>
      <w:r w:rsidRPr="00827C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of Social Science Research Methods</w:t>
      </w:r>
      <w:r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. Thousand Oaks, London and New </w:t>
      </w:r>
      <w:proofErr w:type="spellStart"/>
      <w:r w:rsidRPr="00827CA8">
        <w:rPr>
          <w:rFonts w:asciiTheme="minorHAnsi" w:hAnsiTheme="minorHAnsi" w:cstheme="minorHAnsi"/>
          <w:sz w:val="20"/>
          <w:szCs w:val="20"/>
          <w:lang w:val="en-GB"/>
        </w:rPr>
        <w:t>Dehli</w:t>
      </w:r>
      <w:proofErr w:type="spellEnd"/>
      <w:r w:rsidRPr="00827CA8">
        <w:rPr>
          <w:rFonts w:asciiTheme="minorHAnsi" w:hAnsiTheme="minorHAnsi" w:cstheme="minorHAnsi"/>
          <w:sz w:val="20"/>
          <w:szCs w:val="20"/>
          <w:lang w:val="en-GB"/>
        </w:rPr>
        <w:t>: SAGE, 892.</w:t>
      </w:r>
    </w:p>
    <w:p w:rsidR="001804AF" w:rsidRPr="00827CA8" w:rsidRDefault="001804AF" w:rsidP="0047361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Lynch, K. (1977) </w:t>
      </w:r>
      <w:r w:rsidRPr="00827CA8">
        <w:rPr>
          <w:rFonts w:asciiTheme="minorHAnsi" w:hAnsiTheme="minorHAnsi" w:cstheme="minorHAnsi"/>
          <w:i/>
          <w:sz w:val="20"/>
          <w:szCs w:val="20"/>
          <w:lang w:val="en-GB"/>
        </w:rPr>
        <w:t>Growing up in Cities</w:t>
      </w:r>
      <w:r w:rsidR="000C3F5B"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="000C3F5B" w:rsidRPr="00827CA8">
        <w:rPr>
          <w:rFonts w:asciiTheme="minorHAnsi" w:hAnsiTheme="minorHAnsi" w:cstheme="minorHAnsi"/>
          <w:sz w:val="20"/>
          <w:szCs w:val="20"/>
          <w:lang w:val="en-US"/>
        </w:rPr>
        <w:t>Cambridge, MA: MIT Press.</w:t>
      </w:r>
    </w:p>
    <w:p w:rsidR="002F35CA" w:rsidRPr="00827CA8" w:rsidRDefault="002F35CA" w:rsidP="002F35CA">
      <w:pPr>
        <w:rPr>
          <w:rFonts w:asciiTheme="minorHAnsi" w:hAnsiTheme="minorHAnsi" w:cstheme="minorHAnsi"/>
          <w:sz w:val="20"/>
          <w:szCs w:val="20"/>
        </w:rPr>
      </w:pPr>
      <w:r w:rsidRPr="00827CA8">
        <w:rPr>
          <w:rFonts w:asciiTheme="minorHAnsi" w:hAnsiTheme="minorHAnsi" w:cstheme="minorHAnsi"/>
          <w:sz w:val="20"/>
          <w:szCs w:val="20"/>
          <w:lang w:val="en-US"/>
        </w:rPr>
        <w:t xml:space="preserve">Novak, P. (2007) </w:t>
      </w:r>
      <w:proofErr w:type="spellStart"/>
      <w:r w:rsidRPr="00827CA8">
        <w:rPr>
          <w:rFonts w:asciiTheme="minorHAnsi" w:hAnsiTheme="minorHAnsi" w:cstheme="minorHAnsi"/>
          <w:sz w:val="20"/>
          <w:szCs w:val="20"/>
          <w:lang w:val="en-US"/>
        </w:rPr>
        <w:t>Metastudien-Methodik</w:t>
      </w:r>
      <w:proofErr w:type="spellEnd"/>
      <w:r w:rsidRPr="00827CA8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proofErr w:type="spellStart"/>
      <w:r w:rsidRPr="00827CA8">
        <w:rPr>
          <w:rFonts w:asciiTheme="minorHAnsi" w:hAnsiTheme="minorHAnsi" w:cstheme="minorHAnsi"/>
          <w:sz w:val="20"/>
          <w:szCs w:val="20"/>
          <w:lang w:val="en-US"/>
        </w:rPr>
        <w:t>ein</w:t>
      </w:r>
      <w:proofErr w:type="spellEnd"/>
      <w:r w:rsidRPr="00827CA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27CA8">
        <w:rPr>
          <w:rFonts w:asciiTheme="minorHAnsi" w:hAnsiTheme="minorHAnsi" w:cstheme="minorHAnsi"/>
          <w:sz w:val="20"/>
          <w:szCs w:val="20"/>
          <w:lang w:val="en-US"/>
        </w:rPr>
        <w:t>neues</w:t>
      </w:r>
      <w:proofErr w:type="spellEnd"/>
      <w:r w:rsidRPr="00827CA8">
        <w:rPr>
          <w:rFonts w:asciiTheme="minorHAnsi" w:hAnsiTheme="minorHAnsi" w:cstheme="minorHAnsi"/>
          <w:sz w:val="20"/>
          <w:szCs w:val="20"/>
          <w:lang w:val="en-US"/>
        </w:rPr>
        <w:t xml:space="preserve"> Method</w:t>
      </w:r>
      <w:r w:rsidRPr="00827CA8">
        <w:rPr>
          <w:rFonts w:asciiTheme="minorHAnsi" w:hAnsiTheme="minorHAnsi" w:cstheme="minorHAnsi"/>
          <w:sz w:val="20"/>
          <w:szCs w:val="20"/>
        </w:rPr>
        <w:t xml:space="preserve">enparadigma für die Diskursforschung. </w:t>
      </w:r>
      <w:r w:rsidRPr="00827CA8">
        <w:rPr>
          <w:rFonts w:asciiTheme="minorHAnsi" w:hAnsiTheme="minorHAnsi" w:cstheme="minorHAnsi"/>
          <w:i/>
          <w:iCs/>
          <w:sz w:val="20"/>
          <w:szCs w:val="20"/>
        </w:rPr>
        <w:t xml:space="preserve">Gesprächsforschung – Online-Zeitschrift zur verbalen Interaktion </w:t>
      </w:r>
      <w:r w:rsidRPr="00827CA8">
        <w:rPr>
          <w:rFonts w:asciiTheme="minorHAnsi" w:hAnsiTheme="minorHAnsi" w:cstheme="minorHAnsi"/>
          <w:sz w:val="20"/>
          <w:szCs w:val="20"/>
        </w:rPr>
        <w:t>(8): 89-116.</w:t>
      </w:r>
    </w:p>
    <w:p w:rsidR="00450EB7" w:rsidRPr="00827CA8" w:rsidRDefault="00450EB7" w:rsidP="00473611">
      <w:pPr>
        <w:rPr>
          <w:rFonts w:asciiTheme="minorHAnsi" w:hAnsiTheme="minorHAnsi" w:cstheme="minorHAnsi"/>
          <w:sz w:val="20"/>
          <w:szCs w:val="20"/>
        </w:rPr>
      </w:pPr>
      <w:r w:rsidRPr="00827CA8">
        <w:rPr>
          <w:rFonts w:asciiTheme="minorHAnsi" w:hAnsiTheme="minorHAnsi" w:cstheme="minorHAnsi"/>
          <w:sz w:val="20"/>
          <w:szCs w:val="20"/>
          <w:lang w:val="en-US"/>
        </w:rPr>
        <w:t xml:space="preserve">Piaget, J and </w:t>
      </w:r>
      <w:proofErr w:type="spellStart"/>
      <w:r w:rsidRPr="00827CA8">
        <w:rPr>
          <w:rFonts w:asciiTheme="minorHAnsi" w:hAnsiTheme="minorHAnsi" w:cstheme="minorHAnsi"/>
          <w:sz w:val="20"/>
          <w:szCs w:val="20"/>
          <w:lang w:val="en-US"/>
        </w:rPr>
        <w:t>Inhelder</w:t>
      </w:r>
      <w:proofErr w:type="spellEnd"/>
      <w:r w:rsidRPr="00827CA8">
        <w:rPr>
          <w:rFonts w:asciiTheme="minorHAnsi" w:hAnsiTheme="minorHAnsi" w:cstheme="minorHAnsi"/>
          <w:sz w:val="20"/>
          <w:szCs w:val="20"/>
          <w:lang w:val="en-US"/>
        </w:rPr>
        <w:t>, B. (1967 [1948]</w:t>
      </w:r>
      <w:proofErr w:type="gramStart"/>
      <w:r w:rsidR="00E644A9" w:rsidRPr="00827CA8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E644A9" w:rsidRPr="00827CA8">
        <w:rPr>
          <w:rFonts w:asciiTheme="minorHAnsi" w:hAnsiTheme="minorHAnsi" w:cstheme="minorHAnsi"/>
          <w:i/>
          <w:sz w:val="20"/>
          <w:szCs w:val="20"/>
          <w:lang w:val="en-US"/>
        </w:rPr>
        <w:t>The</w:t>
      </w:r>
      <w:proofErr w:type="gramEnd"/>
      <w:r w:rsidR="00E644A9" w:rsidRPr="00827CA8">
        <w:rPr>
          <w:rFonts w:asciiTheme="minorHAnsi" w:hAnsiTheme="minorHAnsi" w:cstheme="minorHAnsi"/>
          <w:i/>
          <w:sz w:val="20"/>
          <w:szCs w:val="20"/>
          <w:lang w:val="en-US"/>
        </w:rPr>
        <w:t xml:space="preserve"> Child’s conception of space</w:t>
      </w:r>
      <w:r w:rsidR="00E644A9" w:rsidRPr="00827CA8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E644A9" w:rsidRPr="00827CA8">
        <w:rPr>
          <w:rFonts w:asciiTheme="minorHAnsi" w:hAnsiTheme="minorHAnsi" w:cstheme="minorHAnsi"/>
          <w:sz w:val="20"/>
          <w:szCs w:val="20"/>
        </w:rPr>
        <w:t>New York: Norton.</w:t>
      </w:r>
    </w:p>
    <w:p w:rsidR="00473611" w:rsidRPr="00004EDC" w:rsidRDefault="00C91D88" w:rsidP="00473611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27CA8">
        <w:rPr>
          <w:rFonts w:asciiTheme="minorHAnsi" w:hAnsiTheme="minorHAnsi" w:cstheme="minorHAnsi"/>
          <w:sz w:val="20"/>
          <w:szCs w:val="20"/>
        </w:rPr>
        <w:t>Pren</w:t>
      </w:r>
      <w:r w:rsidR="00B83612" w:rsidRPr="00827CA8">
        <w:rPr>
          <w:rFonts w:asciiTheme="minorHAnsi" w:hAnsiTheme="minorHAnsi" w:cstheme="minorHAnsi"/>
          <w:sz w:val="20"/>
          <w:szCs w:val="20"/>
        </w:rPr>
        <w:t xml:space="preserve">sky, M. (2001) </w:t>
      </w:r>
      <w:r w:rsidR="00473611" w:rsidRPr="00827CA8">
        <w:rPr>
          <w:rFonts w:asciiTheme="minorHAnsi" w:hAnsiTheme="minorHAnsi" w:cstheme="minorHAnsi"/>
          <w:sz w:val="20"/>
          <w:szCs w:val="20"/>
        </w:rPr>
        <w:t>Digital nativ</w:t>
      </w:r>
      <w:proofErr w:type="spellStart"/>
      <w:r w:rsidR="00473611" w:rsidRPr="00827CA8">
        <w:rPr>
          <w:rFonts w:asciiTheme="minorHAnsi" w:hAnsiTheme="minorHAnsi" w:cstheme="minorHAnsi"/>
          <w:sz w:val="20"/>
          <w:szCs w:val="20"/>
          <w:lang w:val="en-US"/>
        </w:rPr>
        <w:t>es</w:t>
      </w:r>
      <w:proofErr w:type="spellEnd"/>
      <w:r w:rsidR="00473611" w:rsidRPr="00827CA8">
        <w:rPr>
          <w:rFonts w:asciiTheme="minorHAnsi" w:hAnsiTheme="minorHAnsi" w:cstheme="minorHAnsi"/>
          <w:sz w:val="20"/>
          <w:szCs w:val="20"/>
          <w:lang w:val="en-US"/>
        </w:rPr>
        <w:t xml:space="preserve">, digital immigrants part 1. </w:t>
      </w:r>
      <w:proofErr w:type="spellStart"/>
      <w:r w:rsidR="00473611" w:rsidRPr="00004EDC">
        <w:rPr>
          <w:rFonts w:asciiTheme="minorHAnsi" w:hAnsiTheme="minorHAnsi" w:cstheme="minorHAnsi"/>
          <w:i/>
          <w:sz w:val="20"/>
          <w:szCs w:val="20"/>
          <w:lang w:val="es-ES"/>
        </w:rPr>
        <w:t>On</w:t>
      </w:r>
      <w:proofErr w:type="spellEnd"/>
      <w:r w:rsidR="00473611" w:rsidRPr="00004EDC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proofErr w:type="spellStart"/>
      <w:r w:rsidR="00473611" w:rsidRPr="00004EDC">
        <w:rPr>
          <w:rFonts w:asciiTheme="minorHAnsi" w:hAnsiTheme="minorHAnsi" w:cstheme="minorHAnsi"/>
          <w:i/>
          <w:sz w:val="20"/>
          <w:szCs w:val="20"/>
          <w:lang w:val="es-ES"/>
        </w:rPr>
        <w:t>The</w:t>
      </w:r>
      <w:proofErr w:type="spellEnd"/>
      <w:r w:rsidR="00473611" w:rsidRPr="00004EDC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proofErr w:type="spellStart"/>
      <w:r w:rsidR="00473611" w:rsidRPr="00004EDC">
        <w:rPr>
          <w:rFonts w:asciiTheme="minorHAnsi" w:hAnsiTheme="minorHAnsi" w:cstheme="minorHAnsi"/>
          <w:i/>
          <w:sz w:val="20"/>
          <w:szCs w:val="20"/>
          <w:lang w:val="es-ES"/>
        </w:rPr>
        <w:t>Horizon</w:t>
      </w:r>
      <w:proofErr w:type="spellEnd"/>
      <w:r w:rsidR="00473611" w:rsidRPr="00004EDC">
        <w:rPr>
          <w:rFonts w:asciiTheme="minorHAnsi" w:hAnsiTheme="minorHAnsi" w:cstheme="minorHAnsi"/>
          <w:sz w:val="20"/>
          <w:szCs w:val="20"/>
          <w:lang w:val="es-ES"/>
        </w:rPr>
        <w:t xml:space="preserve"> 9(5): 1-6.</w:t>
      </w:r>
    </w:p>
    <w:p w:rsidR="00364BDC" w:rsidRPr="00827CA8" w:rsidRDefault="00364BDC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27CA8">
        <w:rPr>
          <w:rFonts w:asciiTheme="minorHAnsi" w:hAnsiTheme="minorHAnsi" w:cstheme="minorHAnsi"/>
          <w:sz w:val="20"/>
          <w:szCs w:val="20"/>
          <w:lang w:val="es-ES"/>
        </w:rPr>
        <w:t>Sánchez-Meca, J. (20</w:t>
      </w:r>
      <w:r w:rsidR="00143C0B" w:rsidRPr="00827CA8">
        <w:rPr>
          <w:rFonts w:asciiTheme="minorHAnsi" w:hAnsiTheme="minorHAnsi" w:cstheme="minorHAnsi"/>
          <w:sz w:val="20"/>
          <w:szCs w:val="20"/>
          <w:lang w:val="es-ES"/>
        </w:rPr>
        <w:t>10</w:t>
      </w:r>
      <w:r w:rsidRPr="00827CA8">
        <w:rPr>
          <w:rFonts w:asciiTheme="minorHAnsi" w:hAnsiTheme="minorHAnsi" w:cstheme="minorHAnsi"/>
          <w:sz w:val="20"/>
          <w:szCs w:val="20"/>
          <w:lang w:val="es-ES"/>
        </w:rPr>
        <w:t xml:space="preserve">) </w:t>
      </w:r>
      <w:r w:rsidR="00143C0B" w:rsidRPr="00827CA8">
        <w:rPr>
          <w:rFonts w:asciiTheme="minorHAnsi" w:hAnsiTheme="minorHAnsi" w:cstheme="minorHAnsi"/>
          <w:sz w:val="20"/>
          <w:szCs w:val="20"/>
          <w:lang w:val="es-ES"/>
        </w:rPr>
        <w:t xml:space="preserve">Cómo realizar una revisión sistemática y un meta-análisis. </w:t>
      </w:r>
      <w:r w:rsidR="00143C0B" w:rsidRPr="00827CA8">
        <w:rPr>
          <w:rFonts w:asciiTheme="minorHAnsi" w:hAnsiTheme="minorHAnsi" w:cstheme="minorHAnsi"/>
          <w:i/>
          <w:sz w:val="20"/>
          <w:szCs w:val="20"/>
          <w:lang w:val="es-ES"/>
        </w:rPr>
        <w:t>Aula Abierta</w:t>
      </w:r>
      <w:r w:rsidR="00143C0B" w:rsidRPr="00827CA8">
        <w:rPr>
          <w:rFonts w:asciiTheme="minorHAnsi" w:hAnsiTheme="minorHAnsi" w:cstheme="minorHAnsi"/>
          <w:sz w:val="20"/>
          <w:szCs w:val="20"/>
          <w:lang w:val="es-ES"/>
        </w:rPr>
        <w:t xml:space="preserve"> 38(2): 53-64.</w:t>
      </w:r>
    </w:p>
    <w:p w:rsidR="00CE741D" w:rsidRPr="00004EDC" w:rsidRDefault="00CE741D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27CA8">
        <w:rPr>
          <w:rFonts w:asciiTheme="minorHAnsi" w:hAnsiTheme="minorHAnsi" w:cstheme="minorHAnsi"/>
          <w:sz w:val="20"/>
          <w:szCs w:val="20"/>
          <w:lang w:val="es-ES"/>
        </w:rPr>
        <w:t>Tonucci</w:t>
      </w:r>
      <w:proofErr w:type="spellEnd"/>
      <w:r w:rsidRPr="00827CA8">
        <w:rPr>
          <w:rFonts w:asciiTheme="minorHAnsi" w:hAnsiTheme="minorHAnsi" w:cstheme="minorHAnsi"/>
          <w:sz w:val="20"/>
          <w:szCs w:val="20"/>
          <w:lang w:val="es-ES"/>
        </w:rPr>
        <w:t xml:space="preserve">, F. (1996) </w:t>
      </w:r>
      <w:r w:rsidRPr="00827CA8">
        <w:rPr>
          <w:rFonts w:asciiTheme="minorHAnsi" w:hAnsiTheme="minorHAnsi" w:cstheme="minorHAnsi"/>
          <w:i/>
          <w:sz w:val="20"/>
          <w:szCs w:val="20"/>
          <w:lang w:val="es-ES"/>
        </w:rPr>
        <w:t>La Ciudad de los Niños: Un Nuevo Modo de Pensar la Ciudad</w:t>
      </w:r>
      <w:r w:rsidRPr="00827CA8"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  <w:r w:rsidRPr="00004EDC">
        <w:rPr>
          <w:rFonts w:asciiTheme="minorHAnsi" w:hAnsiTheme="minorHAnsi" w:cstheme="minorHAnsi"/>
          <w:sz w:val="20"/>
          <w:szCs w:val="20"/>
          <w:lang w:val="en-US"/>
        </w:rPr>
        <w:t xml:space="preserve">Buenos Aires: Editorial </w:t>
      </w:r>
      <w:proofErr w:type="spellStart"/>
      <w:r w:rsidRPr="00004EDC">
        <w:rPr>
          <w:rFonts w:asciiTheme="minorHAnsi" w:hAnsiTheme="minorHAnsi" w:cstheme="minorHAnsi"/>
          <w:sz w:val="20"/>
          <w:szCs w:val="20"/>
          <w:lang w:val="en-US"/>
        </w:rPr>
        <w:t>Losada</w:t>
      </w:r>
      <w:proofErr w:type="spellEnd"/>
      <w:r w:rsidRPr="00004ED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1F30FA" w:rsidRPr="00827CA8" w:rsidRDefault="0089581B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7CA8">
        <w:rPr>
          <w:rFonts w:asciiTheme="minorHAnsi" w:hAnsiTheme="minorHAnsi" w:cstheme="minorHAnsi"/>
          <w:sz w:val="20"/>
          <w:szCs w:val="20"/>
          <w:lang w:val="en-GB"/>
        </w:rPr>
        <w:t xml:space="preserve">Ward, C. (1977) </w:t>
      </w:r>
      <w:proofErr w:type="gramStart"/>
      <w:r w:rsidRPr="00827CA8">
        <w:rPr>
          <w:rFonts w:asciiTheme="minorHAnsi" w:hAnsiTheme="minorHAnsi" w:cstheme="minorHAnsi"/>
          <w:i/>
          <w:sz w:val="20"/>
          <w:szCs w:val="20"/>
          <w:lang w:val="en-GB"/>
        </w:rPr>
        <w:t>The</w:t>
      </w:r>
      <w:proofErr w:type="gramEnd"/>
      <w:r w:rsidRPr="00827C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Child in the City</w:t>
      </w:r>
      <w:r w:rsidRPr="00827CA8">
        <w:rPr>
          <w:rFonts w:asciiTheme="minorHAnsi" w:hAnsiTheme="minorHAnsi" w:cstheme="minorHAnsi"/>
          <w:sz w:val="20"/>
          <w:szCs w:val="20"/>
          <w:lang w:val="en-GB"/>
        </w:rPr>
        <w:t>. New York: Pantheon Books.</w:t>
      </w:r>
    </w:p>
    <w:p w:rsidR="0089581B" w:rsidRPr="00827CA8" w:rsidRDefault="0089581B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633535" w:rsidRDefault="00633535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7CA8">
        <w:rPr>
          <w:rFonts w:asciiTheme="minorHAnsi" w:hAnsiTheme="minorHAnsi" w:cstheme="minorHAnsi"/>
          <w:sz w:val="20"/>
          <w:szCs w:val="20"/>
          <w:lang w:val="en-GB"/>
        </w:rPr>
        <w:t>*Contact author</w:t>
      </w:r>
      <w:bookmarkStart w:id="0" w:name="_GoBack"/>
      <w:r w:rsidRPr="00827CA8">
        <w:rPr>
          <w:rFonts w:asciiTheme="minorHAnsi" w:hAnsiTheme="minorHAnsi" w:cstheme="minorHAnsi"/>
          <w:sz w:val="20"/>
          <w:szCs w:val="20"/>
          <w:lang w:val="en-GB"/>
        </w:rPr>
        <w:t>: i.castillo-ulloa@isr.tu-berlin.de</w:t>
      </w:r>
      <w:bookmarkEnd w:id="0"/>
    </w:p>
    <w:sectPr w:rsidR="00633535" w:rsidSect="00487131">
      <w:pgSz w:w="11900" w:h="16840"/>
      <w:pgMar w:top="102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1FE"/>
    <w:multiLevelType w:val="hybridMultilevel"/>
    <w:tmpl w:val="9A5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70F3A"/>
    <w:multiLevelType w:val="hybridMultilevel"/>
    <w:tmpl w:val="98E2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277A7"/>
    <w:rsid w:val="00004614"/>
    <w:rsid w:val="00004EDC"/>
    <w:rsid w:val="000276B4"/>
    <w:rsid w:val="00032560"/>
    <w:rsid w:val="00066671"/>
    <w:rsid w:val="000810BA"/>
    <w:rsid w:val="0008408A"/>
    <w:rsid w:val="00097721"/>
    <w:rsid w:val="000C3F5B"/>
    <w:rsid w:val="00111F62"/>
    <w:rsid w:val="001230B9"/>
    <w:rsid w:val="00143C0B"/>
    <w:rsid w:val="00147C47"/>
    <w:rsid w:val="001560AA"/>
    <w:rsid w:val="001804AF"/>
    <w:rsid w:val="00186498"/>
    <w:rsid w:val="001E0F78"/>
    <w:rsid w:val="001F30FA"/>
    <w:rsid w:val="00202365"/>
    <w:rsid w:val="00257759"/>
    <w:rsid w:val="00293573"/>
    <w:rsid w:val="002B5E83"/>
    <w:rsid w:val="002D58E7"/>
    <w:rsid w:val="002F35CA"/>
    <w:rsid w:val="00306157"/>
    <w:rsid w:val="003415BA"/>
    <w:rsid w:val="00353423"/>
    <w:rsid w:val="00354B63"/>
    <w:rsid w:val="00364BDC"/>
    <w:rsid w:val="003973CE"/>
    <w:rsid w:val="003B055E"/>
    <w:rsid w:val="00404423"/>
    <w:rsid w:val="0042516E"/>
    <w:rsid w:val="00426E14"/>
    <w:rsid w:val="004277A7"/>
    <w:rsid w:val="00443096"/>
    <w:rsid w:val="00450EB7"/>
    <w:rsid w:val="0045255C"/>
    <w:rsid w:val="00473611"/>
    <w:rsid w:val="00487131"/>
    <w:rsid w:val="004A158D"/>
    <w:rsid w:val="00514B93"/>
    <w:rsid w:val="005B5D78"/>
    <w:rsid w:val="005C7DCD"/>
    <w:rsid w:val="00633535"/>
    <w:rsid w:val="00644B17"/>
    <w:rsid w:val="00677D46"/>
    <w:rsid w:val="007137CE"/>
    <w:rsid w:val="0077549A"/>
    <w:rsid w:val="00782670"/>
    <w:rsid w:val="00797251"/>
    <w:rsid w:val="007A737D"/>
    <w:rsid w:val="00827CA8"/>
    <w:rsid w:val="0084253E"/>
    <w:rsid w:val="00845F14"/>
    <w:rsid w:val="008653AA"/>
    <w:rsid w:val="008704AF"/>
    <w:rsid w:val="00894734"/>
    <w:rsid w:val="0089581B"/>
    <w:rsid w:val="008D1002"/>
    <w:rsid w:val="008D1925"/>
    <w:rsid w:val="008D5A76"/>
    <w:rsid w:val="009039E4"/>
    <w:rsid w:val="00923DBB"/>
    <w:rsid w:val="00927C8A"/>
    <w:rsid w:val="00955C56"/>
    <w:rsid w:val="0099050C"/>
    <w:rsid w:val="009D0299"/>
    <w:rsid w:val="009F4AC0"/>
    <w:rsid w:val="009F5D86"/>
    <w:rsid w:val="00A71368"/>
    <w:rsid w:val="00AE7333"/>
    <w:rsid w:val="00AF6F13"/>
    <w:rsid w:val="00B00C0F"/>
    <w:rsid w:val="00B416F1"/>
    <w:rsid w:val="00B545F3"/>
    <w:rsid w:val="00B83612"/>
    <w:rsid w:val="00BC6E4D"/>
    <w:rsid w:val="00BE177F"/>
    <w:rsid w:val="00C308BE"/>
    <w:rsid w:val="00C559D9"/>
    <w:rsid w:val="00C62647"/>
    <w:rsid w:val="00C8746F"/>
    <w:rsid w:val="00C91D88"/>
    <w:rsid w:val="00CA19EA"/>
    <w:rsid w:val="00CE4C43"/>
    <w:rsid w:val="00CE741D"/>
    <w:rsid w:val="00CF7C72"/>
    <w:rsid w:val="00D60A3A"/>
    <w:rsid w:val="00D84BC1"/>
    <w:rsid w:val="00DB3D4D"/>
    <w:rsid w:val="00DD1400"/>
    <w:rsid w:val="00E0456A"/>
    <w:rsid w:val="00E11950"/>
    <w:rsid w:val="00E6165E"/>
    <w:rsid w:val="00E644A9"/>
    <w:rsid w:val="00EB1C40"/>
    <w:rsid w:val="00F746C5"/>
    <w:rsid w:val="00F8108D"/>
    <w:rsid w:val="00FB4CEF"/>
    <w:rsid w:val="00FC0F1B"/>
    <w:rsid w:val="00FD2AA5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44F94F-4E95-4B64-ABC9-AA6239DB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4AF"/>
    <w:rPr>
      <w:rFonts w:ascii="Times New Roman" w:eastAsia="Times New Roman" w:hAnsi="Times New Roman" w:cs="Times New Roman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3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8D19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1925"/>
    <w:rPr>
      <w:rFonts w:asciiTheme="minorHAnsi" w:hAnsiTheme="minorHAnsi"/>
      <w:sz w:val="16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1925"/>
    <w:rPr>
      <w:rFonts w:eastAsia="Times New Roman" w:cs="Times New Roman"/>
      <w:sz w:val="16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925"/>
    <w:rPr>
      <w:rFonts w:eastAsia="Times New Roman" w:cs="Times New Roman"/>
      <w:b/>
      <w:bCs/>
      <w:sz w:val="16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unhideWhenUsed/>
    <w:rsid w:val="008D1925"/>
    <w:rPr>
      <w:rFonts w:asciiTheme="minorHAnsi" w:hAnsiTheme="minorHAnsi"/>
      <w:sz w:val="16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D1925"/>
    <w:rPr>
      <w:rFonts w:eastAsia="Times New Roman" w:cs="Times New Roman"/>
      <w:sz w:val="16"/>
      <w:szCs w:val="18"/>
      <w:lang w:val="de-DE"/>
    </w:rPr>
  </w:style>
  <w:style w:type="paragraph" w:styleId="NormalWeb">
    <w:name w:val="Normal (Web)"/>
    <w:basedOn w:val="Normal"/>
    <w:uiPriority w:val="99"/>
    <w:semiHidden/>
    <w:unhideWhenUsed/>
    <w:rsid w:val="00CE4C43"/>
  </w:style>
  <w:style w:type="character" w:styleId="Hipervnculo">
    <w:name w:val="Hyperlink"/>
    <w:basedOn w:val="Fuentedeprrafopredeter"/>
    <w:uiPriority w:val="99"/>
    <w:unhideWhenUsed/>
    <w:rsid w:val="0000461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00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774</Words>
  <Characters>4260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Castillo Ulloa</dc:creator>
  <cp:keywords/>
  <dc:description/>
  <cp:lastModifiedBy>Carolina Gandulfo</cp:lastModifiedBy>
  <cp:revision>5</cp:revision>
  <dcterms:created xsi:type="dcterms:W3CDTF">2018-06-01T16:13:00Z</dcterms:created>
  <dcterms:modified xsi:type="dcterms:W3CDTF">2018-08-16T14:44:00Z</dcterms:modified>
</cp:coreProperties>
</file>