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B7" w:rsidRDefault="00356AB7" w:rsidP="004C620A">
      <w:pPr>
        <w:pStyle w:val="Ttulo1"/>
        <w:jc w:val="both"/>
        <w:rPr>
          <w:u w:val="single"/>
        </w:rPr>
      </w:pPr>
    </w:p>
    <w:p w:rsidR="00356AB7" w:rsidRDefault="00356AB7" w:rsidP="004C620A">
      <w:pPr>
        <w:jc w:val="both"/>
      </w:pPr>
      <w:r>
        <w:t xml:space="preserve">Autora: Sonia Cristina </w:t>
      </w:r>
      <w:proofErr w:type="spellStart"/>
      <w:r>
        <w:t>Aiscar</w:t>
      </w:r>
      <w:proofErr w:type="spellEnd"/>
      <w:r>
        <w:t>.  Abogada y Lic. Trabajo Social. Actualmente Subsecretaria de Promoción y Protección de Derechos de Niñez, Adolescencia y Juventud de la Municipalidad de Moreno.</w:t>
      </w:r>
    </w:p>
    <w:p w:rsidR="00356AB7" w:rsidRDefault="00356AB7" w:rsidP="004C620A">
      <w:pPr>
        <w:jc w:val="both"/>
      </w:pPr>
      <w:r>
        <w:t>Presentación de resultados preliminares de la Tesis de Doctorado en DDHH (Universidad Nacional de Lanús.</w:t>
      </w:r>
    </w:p>
    <w:p w:rsidR="00356AB7" w:rsidRPr="00356AB7" w:rsidRDefault="00356AB7" w:rsidP="004C620A">
      <w:pPr>
        <w:jc w:val="both"/>
      </w:pPr>
      <w:r>
        <w:t xml:space="preserve">Tesis, </w:t>
      </w:r>
      <w:r w:rsidR="00D5425F">
        <w:t>titulada</w:t>
      </w:r>
      <w:r>
        <w:t>:</w:t>
      </w:r>
    </w:p>
    <w:p w:rsidR="00356AB7" w:rsidRPr="00F61A66" w:rsidRDefault="00356AB7" w:rsidP="004C620A">
      <w:pPr>
        <w:pStyle w:val="Ttulo1"/>
        <w:jc w:val="center"/>
        <w:rPr>
          <w:u w:val="single"/>
        </w:rPr>
      </w:pPr>
      <w:r w:rsidRPr="00F61A66">
        <w:rPr>
          <w:u w:val="single"/>
        </w:rPr>
        <w:t>“Dilemas y tensiones en las prácticas de restitución de derechos del Sistema de Promoción y Protección de Derechos de Niños, Niñas y Adolescentes (</w:t>
      </w:r>
      <w:proofErr w:type="spellStart"/>
      <w:r w:rsidRPr="00F61A66">
        <w:rPr>
          <w:u w:val="single"/>
        </w:rPr>
        <w:t>SPPDNNyA</w:t>
      </w:r>
      <w:proofErr w:type="spellEnd"/>
      <w:r w:rsidRPr="00F61A66">
        <w:rPr>
          <w:u w:val="single"/>
        </w:rPr>
        <w:t>) desde la perspectiva de los sujetos titulares del derecho a la protección especial. Una investigación en Moreno”.</w:t>
      </w:r>
    </w:p>
    <w:p w:rsidR="00356AB7" w:rsidRDefault="00356AB7" w:rsidP="004C62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6AB7" w:rsidRDefault="00356AB7" w:rsidP="004C620A">
      <w:pPr>
        <w:pStyle w:val="Subttulo"/>
        <w:jc w:val="both"/>
      </w:pPr>
      <w:r>
        <w:t xml:space="preserve">Eje temático del Simposio: </w:t>
      </w:r>
    </w:p>
    <w:p w:rsidR="00356AB7" w:rsidRPr="00781CFD" w:rsidRDefault="00356AB7" w:rsidP="004C62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6AB7">
        <w:rPr>
          <w:rFonts w:ascii="Arial" w:hAnsi="Arial" w:cs="Arial"/>
          <w:sz w:val="24"/>
          <w:szCs w:val="24"/>
        </w:rPr>
        <w:t xml:space="preserve">Praxis política y </w:t>
      </w:r>
      <w:r w:rsidRPr="00781CFD">
        <w:rPr>
          <w:rFonts w:ascii="Arial" w:hAnsi="Arial" w:cs="Arial"/>
          <w:sz w:val="24"/>
          <w:szCs w:val="24"/>
        </w:rPr>
        <w:t>formación ciudadana.</w:t>
      </w:r>
    </w:p>
    <w:p w:rsidR="00356AB7" w:rsidRPr="00781CFD" w:rsidRDefault="00356AB7" w:rsidP="004C620A">
      <w:pPr>
        <w:pStyle w:val="Subttulo"/>
        <w:jc w:val="both"/>
      </w:pPr>
      <w:r w:rsidRPr="00781CFD">
        <w:t>Tema:</w:t>
      </w:r>
    </w:p>
    <w:p w:rsidR="00356AB7" w:rsidRPr="00781CFD" w:rsidRDefault="00356AB7" w:rsidP="004C620A">
      <w:pPr>
        <w:jc w:val="both"/>
        <w:rPr>
          <w:rFonts w:ascii="Arial" w:hAnsi="Arial" w:cs="Arial"/>
          <w:sz w:val="24"/>
          <w:szCs w:val="24"/>
        </w:rPr>
      </w:pPr>
      <w:r w:rsidRPr="00781CFD">
        <w:rPr>
          <w:rFonts w:ascii="Arial" w:hAnsi="Arial" w:cs="Arial"/>
          <w:sz w:val="24"/>
          <w:szCs w:val="24"/>
        </w:rPr>
        <w:tab/>
        <w:t>El rol del Sistema de Protección de Derechos de Niñez y Adolescencia en la concreción de los DDHH de niños, niñas y adolescentes</w:t>
      </w:r>
      <w:r w:rsidR="001107D6" w:rsidRPr="00781CFD">
        <w:rPr>
          <w:rFonts w:ascii="Arial" w:hAnsi="Arial" w:cs="Arial"/>
          <w:sz w:val="24"/>
          <w:szCs w:val="24"/>
        </w:rPr>
        <w:t>,</w:t>
      </w:r>
      <w:r w:rsidRPr="00781CFD">
        <w:rPr>
          <w:rFonts w:ascii="Arial" w:hAnsi="Arial" w:cs="Arial"/>
          <w:sz w:val="24"/>
          <w:szCs w:val="24"/>
        </w:rPr>
        <w:t xml:space="preserve"> con derechos vulnerados y su importancia para la consolidación de inclusión ciudadana de los sujetos titulares del derecho a la protección especial.</w:t>
      </w:r>
    </w:p>
    <w:p w:rsidR="001107D6" w:rsidRPr="00781CFD" w:rsidRDefault="001107D6" w:rsidP="004C620A">
      <w:pPr>
        <w:pStyle w:val="Subttulo"/>
        <w:jc w:val="both"/>
      </w:pPr>
      <w:r w:rsidRPr="00781CFD">
        <w:t>Problema:</w:t>
      </w:r>
    </w:p>
    <w:p w:rsidR="001107D6" w:rsidRPr="00781CFD" w:rsidRDefault="001107D6" w:rsidP="004C620A">
      <w:pPr>
        <w:jc w:val="both"/>
      </w:pPr>
      <w:r w:rsidRPr="00781CFD">
        <w:tab/>
      </w:r>
      <w:r w:rsidRPr="00781CFD">
        <w:rPr>
          <w:rFonts w:ascii="Arial" w:hAnsi="Arial" w:cs="Arial"/>
          <w:sz w:val="24"/>
          <w:szCs w:val="24"/>
        </w:rPr>
        <w:t xml:space="preserve">El Sistema de Protección de Derechos de Niñez y Adolescencia, legislado e implementado para restituir derechos vulnerados, aspira cumplir un rol fundamental en la protección especial de </w:t>
      </w:r>
      <w:proofErr w:type="spellStart"/>
      <w:r w:rsidR="004C620A" w:rsidRPr="00781CFD">
        <w:rPr>
          <w:rFonts w:ascii="Arial" w:hAnsi="Arial" w:cs="Arial"/>
          <w:sz w:val="24"/>
          <w:szCs w:val="24"/>
        </w:rPr>
        <w:t>NNyA</w:t>
      </w:r>
      <w:proofErr w:type="spellEnd"/>
      <w:r w:rsidRPr="00781CFD">
        <w:rPr>
          <w:rFonts w:ascii="Arial" w:hAnsi="Arial" w:cs="Arial"/>
          <w:sz w:val="24"/>
          <w:szCs w:val="24"/>
        </w:rPr>
        <w:t>, fortaleciendo la inclusión ciudadana de esos sujetos, pero las percepciones de los “protegidos” acerca de las prácticas e intervenciones del sistema no condicen con el logro de esos objetivos.</w:t>
      </w:r>
    </w:p>
    <w:p w:rsidR="00356AB7" w:rsidRPr="00781CFD" w:rsidRDefault="00356AB7" w:rsidP="004C620A">
      <w:pPr>
        <w:pStyle w:val="Subttulo"/>
        <w:jc w:val="both"/>
      </w:pPr>
      <w:r w:rsidRPr="00781CFD">
        <w:t xml:space="preserve">Objetivo General: </w:t>
      </w:r>
    </w:p>
    <w:p w:rsidR="00356AB7" w:rsidRPr="00781CFD" w:rsidRDefault="00356AB7" w:rsidP="004C62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1CFD">
        <w:rPr>
          <w:rFonts w:ascii="Arial" w:hAnsi="Arial" w:cs="Arial"/>
          <w:sz w:val="24"/>
          <w:szCs w:val="24"/>
        </w:rPr>
        <w:t>Conocer las percepciones de los niños, niñas y adolescentes (</w:t>
      </w:r>
      <w:proofErr w:type="spellStart"/>
      <w:r w:rsidRPr="00781CFD">
        <w:rPr>
          <w:rFonts w:ascii="Arial" w:hAnsi="Arial" w:cs="Arial"/>
          <w:sz w:val="24"/>
          <w:szCs w:val="24"/>
        </w:rPr>
        <w:t>NNyA</w:t>
      </w:r>
      <w:proofErr w:type="spellEnd"/>
      <w:r w:rsidRPr="00781CFD">
        <w:rPr>
          <w:rFonts w:ascii="Arial" w:hAnsi="Arial" w:cs="Arial"/>
          <w:sz w:val="24"/>
          <w:szCs w:val="24"/>
        </w:rPr>
        <w:t>), sujetos titulares del derecho a la protección especial, acerca de las prácticas de restitución de derechos desplegadas por el Sistema de Promoción y Protección de Derechos de Niños, Niñas y Adolescentes (</w:t>
      </w:r>
      <w:proofErr w:type="spellStart"/>
      <w:r w:rsidRPr="00781CFD">
        <w:rPr>
          <w:rFonts w:ascii="Arial" w:hAnsi="Arial" w:cs="Arial"/>
          <w:sz w:val="24"/>
          <w:szCs w:val="24"/>
        </w:rPr>
        <w:t>SPPDNNyA</w:t>
      </w:r>
      <w:proofErr w:type="spellEnd"/>
      <w:r w:rsidRPr="00781CFD">
        <w:rPr>
          <w:rFonts w:ascii="Arial" w:hAnsi="Arial" w:cs="Arial"/>
          <w:sz w:val="24"/>
          <w:szCs w:val="24"/>
        </w:rPr>
        <w:t>), en un ámbito geográfico y socio político concreto.</w:t>
      </w:r>
    </w:p>
    <w:p w:rsidR="001107D6" w:rsidRPr="00781CFD" w:rsidRDefault="001107D6" w:rsidP="004C620A">
      <w:pPr>
        <w:pStyle w:val="Subttulo"/>
        <w:jc w:val="both"/>
      </w:pPr>
      <w:r w:rsidRPr="00781CFD">
        <w:lastRenderedPageBreak/>
        <w:t>Referencias teórico-metodológicas. Trabajo de campo y análisis. Relevancia.</w:t>
      </w:r>
    </w:p>
    <w:p w:rsidR="001107D6" w:rsidRPr="00781CFD" w:rsidRDefault="001107D6" w:rsidP="004C620A">
      <w:pPr>
        <w:jc w:val="both"/>
        <w:rPr>
          <w:rFonts w:ascii="Arial" w:hAnsi="Arial" w:cs="Arial"/>
          <w:sz w:val="24"/>
          <w:szCs w:val="24"/>
        </w:rPr>
      </w:pPr>
      <w:r w:rsidRPr="00781CFD">
        <w:tab/>
      </w:r>
      <w:r w:rsidRPr="00781CFD">
        <w:rPr>
          <w:rFonts w:ascii="Arial" w:hAnsi="Arial" w:cs="Arial"/>
          <w:sz w:val="24"/>
          <w:szCs w:val="24"/>
        </w:rPr>
        <w:t xml:space="preserve">El presente trabajo se inspira en la preocupación por las percepciones que los </w:t>
      </w:r>
      <w:proofErr w:type="spellStart"/>
      <w:r w:rsidRPr="00781CFD">
        <w:rPr>
          <w:rFonts w:ascii="Arial" w:hAnsi="Arial" w:cs="Arial"/>
          <w:sz w:val="24"/>
          <w:szCs w:val="24"/>
        </w:rPr>
        <w:t>NNyA</w:t>
      </w:r>
      <w:proofErr w:type="spellEnd"/>
      <w:r w:rsidRPr="00781CFD">
        <w:rPr>
          <w:rFonts w:ascii="Arial" w:hAnsi="Arial" w:cs="Arial"/>
          <w:sz w:val="24"/>
          <w:szCs w:val="24"/>
        </w:rPr>
        <w:t xml:space="preserve"> titulares del derecho a la protección especial, tienen acerca de las prácticas e intervenciones profesionales e institucionales, destinados a protegerlos, a través de acciones concretas para hacer cesar las vulneraciones y restituirles derechos.</w:t>
      </w:r>
    </w:p>
    <w:p w:rsidR="001107D6" w:rsidRPr="00781CFD" w:rsidRDefault="001107D6" w:rsidP="004C620A">
      <w:pPr>
        <w:jc w:val="both"/>
        <w:rPr>
          <w:rFonts w:ascii="Arial" w:hAnsi="Arial" w:cs="Arial"/>
          <w:sz w:val="24"/>
          <w:szCs w:val="24"/>
        </w:rPr>
      </w:pPr>
      <w:r w:rsidRPr="00781CFD">
        <w:rPr>
          <w:rFonts w:ascii="Arial" w:hAnsi="Arial" w:cs="Arial"/>
          <w:sz w:val="24"/>
          <w:szCs w:val="24"/>
        </w:rPr>
        <w:tab/>
        <w:t>A parti</w:t>
      </w:r>
      <w:r w:rsidR="00E81C2C" w:rsidRPr="00781CFD">
        <w:rPr>
          <w:rFonts w:ascii="Arial" w:hAnsi="Arial" w:cs="Arial"/>
          <w:sz w:val="24"/>
          <w:szCs w:val="24"/>
        </w:rPr>
        <w:t>r de</w:t>
      </w:r>
      <w:r w:rsidRPr="00781CFD">
        <w:rPr>
          <w:rFonts w:ascii="Arial" w:hAnsi="Arial" w:cs="Arial"/>
          <w:sz w:val="24"/>
          <w:szCs w:val="24"/>
        </w:rPr>
        <w:t xml:space="preserve"> la Convención Internacional de Derechos del Niño se abre una etapa normativa que instituyó un cambio de paradigma en el enfoque de la niñez y su derecho a la protección especial. </w:t>
      </w:r>
      <w:r w:rsidR="00E81C2C" w:rsidRPr="00781CFD">
        <w:rPr>
          <w:rFonts w:ascii="Arial" w:hAnsi="Arial" w:cs="Arial"/>
          <w:sz w:val="24"/>
          <w:szCs w:val="24"/>
        </w:rPr>
        <w:t>Conocido como Paradigma de la Protección Integral o Enfoque de Derechos, sus postulados han tenido que abrirse paso en medio de una larga historia de consolidación cultural del llamado Paradigma Tutelar, donde niños y adolescentes eran abordados como “objetos” de las prácticas tutelares, fundamentalmente judiciales.</w:t>
      </w:r>
    </w:p>
    <w:p w:rsidR="00E81C2C" w:rsidRPr="00781CFD" w:rsidRDefault="00E81C2C" w:rsidP="004C620A">
      <w:pPr>
        <w:jc w:val="both"/>
        <w:rPr>
          <w:rFonts w:ascii="Arial" w:hAnsi="Arial" w:cs="Arial"/>
          <w:sz w:val="24"/>
          <w:szCs w:val="24"/>
        </w:rPr>
      </w:pPr>
      <w:r w:rsidRPr="00781CFD">
        <w:rPr>
          <w:rFonts w:ascii="Arial" w:hAnsi="Arial" w:cs="Arial"/>
          <w:sz w:val="24"/>
          <w:szCs w:val="24"/>
        </w:rPr>
        <w:tab/>
        <w:t xml:space="preserve">Hoy, el andamiaje jurídico / legislativo está completo para que las prácticas sean respetuosas de </w:t>
      </w:r>
      <w:proofErr w:type="spellStart"/>
      <w:r w:rsidRPr="00781CFD">
        <w:rPr>
          <w:rFonts w:ascii="Arial" w:hAnsi="Arial" w:cs="Arial"/>
          <w:sz w:val="24"/>
          <w:szCs w:val="24"/>
        </w:rPr>
        <w:t>NNyA</w:t>
      </w:r>
      <w:proofErr w:type="spellEnd"/>
      <w:r w:rsidRPr="00781CFD">
        <w:rPr>
          <w:rFonts w:ascii="Arial" w:hAnsi="Arial" w:cs="Arial"/>
          <w:sz w:val="24"/>
          <w:szCs w:val="24"/>
        </w:rPr>
        <w:t xml:space="preserve"> como sujetos de derechos pero cómo se dan esas prácticas en lo concreto y cómo las perciben sus destinatarios es una pregunta necesaria para conocer el cumplimiento de los objetivos del Sistema.</w:t>
      </w:r>
    </w:p>
    <w:p w:rsidR="00E81C2C" w:rsidRPr="00781CFD" w:rsidRDefault="00E81C2C" w:rsidP="004C620A">
      <w:pPr>
        <w:jc w:val="both"/>
        <w:rPr>
          <w:rFonts w:ascii="Arial" w:hAnsi="Arial" w:cs="Arial"/>
          <w:sz w:val="24"/>
          <w:szCs w:val="24"/>
        </w:rPr>
      </w:pPr>
      <w:r w:rsidRPr="00781CFD">
        <w:rPr>
          <w:rFonts w:ascii="Arial" w:hAnsi="Arial" w:cs="Arial"/>
          <w:sz w:val="24"/>
          <w:szCs w:val="24"/>
        </w:rPr>
        <w:tab/>
        <w:t xml:space="preserve">A través de una investigación exploratoria, en un ámbito sociopolítico y geográfico concreto se intenta conocer las percepciones de los titulares del derecho a la protección especial, con especial énfasis en la importancia que el Sistema tiene para consolidar capacidades ciudadanas de </w:t>
      </w:r>
      <w:proofErr w:type="spellStart"/>
      <w:r w:rsidRPr="00781CFD">
        <w:rPr>
          <w:rFonts w:ascii="Arial" w:hAnsi="Arial" w:cs="Arial"/>
          <w:sz w:val="24"/>
          <w:szCs w:val="24"/>
        </w:rPr>
        <w:t>NNyA</w:t>
      </w:r>
      <w:proofErr w:type="spellEnd"/>
      <w:r w:rsidRPr="00781CFD">
        <w:rPr>
          <w:rFonts w:ascii="Arial" w:hAnsi="Arial" w:cs="Arial"/>
          <w:sz w:val="24"/>
          <w:szCs w:val="24"/>
        </w:rPr>
        <w:t xml:space="preserve"> y dar concreción al respeto de los DDHH de las personas involucradas.</w:t>
      </w:r>
    </w:p>
    <w:p w:rsidR="00E81C2C" w:rsidRPr="00781CFD" w:rsidRDefault="00E81C2C" w:rsidP="004C62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1CFD">
        <w:rPr>
          <w:rFonts w:ascii="Arial" w:hAnsi="Arial" w:cs="Arial"/>
          <w:sz w:val="24"/>
          <w:szCs w:val="24"/>
        </w:rPr>
        <w:t>Mediante entrevistas en profundidad, la investigación se propone indagar cómo evalúan al Sistema y qué experiencia han tenido sus destinatarios principales, los niños, niñas y adolescentes.</w:t>
      </w:r>
    </w:p>
    <w:p w:rsidR="00E81C2C" w:rsidRPr="004C620A" w:rsidRDefault="00E81C2C" w:rsidP="004C62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1CFD">
        <w:rPr>
          <w:rFonts w:ascii="Arial" w:hAnsi="Arial" w:cs="Arial"/>
          <w:sz w:val="24"/>
          <w:szCs w:val="24"/>
        </w:rPr>
        <w:t>Los antecedentes en el tema están referidos a análisis doctrinarios, estadísticas de atención de situaciones y percepciones y experiencias de los profesionales del Sistema pero no se registran antecedentes donde los consultados hayan sido sus destinatarios, por lo cual la relevancia es importante como herramienta de análisis, evaluación y reflexión.</w:t>
      </w:r>
      <w:bookmarkStart w:id="0" w:name="_GoBack"/>
      <w:bookmarkEnd w:id="0"/>
    </w:p>
    <w:p w:rsidR="00356AB7" w:rsidRDefault="00356AB7" w:rsidP="004C620A">
      <w:pPr>
        <w:pStyle w:val="Subttulo"/>
        <w:jc w:val="both"/>
      </w:pPr>
    </w:p>
    <w:p w:rsidR="00356AB7" w:rsidRPr="00BF2141" w:rsidRDefault="00356AB7" w:rsidP="004C620A">
      <w:pPr>
        <w:pStyle w:val="Subttulo"/>
        <w:jc w:val="both"/>
      </w:pPr>
    </w:p>
    <w:p w:rsidR="00252419" w:rsidRDefault="00252419" w:rsidP="004C620A">
      <w:pPr>
        <w:jc w:val="both"/>
      </w:pPr>
    </w:p>
    <w:sectPr w:rsidR="00252419" w:rsidSect="00673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6AB7"/>
    <w:rsid w:val="001107D6"/>
    <w:rsid w:val="00252419"/>
    <w:rsid w:val="00356AB7"/>
    <w:rsid w:val="004C620A"/>
    <w:rsid w:val="00673C34"/>
    <w:rsid w:val="00781CFD"/>
    <w:rsid w:val="00BC14E8"/>
    <w:rsid w:val="00D5425F"/>
    <w:rsid w:val="00E433F7"/>
    <w:rsid w:val="00E8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84AAA5-E23B-4924-A9E4-88AE3D95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B7"/>
  </w:style>
  <w:style w:type="paragraph" w:styleId="Ttulo1">
    <w:name w:val="heading 1"/>
    <w:basedOn w:val="Normal"/>
    <w:next w:val="Normal"/>
    <w:link w:val="Ttulo1Car"/>
    <w:uiPriority w:val="9"/>
    <w:qFormat/>
    <w:rsid w:val="00356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6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356A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56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Carolina Gandulfo</cp:lastModifiedBy>
  <cp:revision>5</cp:revision>
  <dcterms:created xsi:type="dcterms:W3CDTF">2018-05-08T22:59:00Z</dcterms:created>
  <dcterms:modified xsi:type="dcterms:W3CDTF">2018-08-16T14:40:00Z</dcterms:modified>
</cp:coreProperties>
</file>